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45E7" w14:textId="477A5E36" w:rsidR="00E5281B" w:rsidRDefault="00E5281B" w:rsidP="004153B5"/>
    <w:p w14:paraId="2B6E833A" w14:textId="733D2B20" w:rsidR="00E5281B" w:rsidRPr="00420F2A" w:rsidRDefault="007B6788">
      <w:pPr>
        <w:pStyle w:val="Heading1"/>
        <w:rPr>
          <w:color w:val="31849B" w:themeColor="accent5" w:themeShade="BF"/>
        </w:rPr>
      </w:pPr>
      <w:r w:rsidRPr="00420F2A">
        <w:rPr>
          <w:color w:val="31849B" w:themeColor="accent5" w:themeShade="BF"/>
        </w:rPr>
        <w:t>E‑Safety Policy (25</w:t>
      </w:r>
      <w:r w:rsidR="00420F2A" w:rsidRPr="00420F2A">
        <w:rPr>
          <w:color w:val="31849B" w:themeColor="accent5" w:themeShade="BF"/>
        </w:rPr>
        <w:t>-26</w:t>
      </w:r>
      <w:r w:rsidRPr="00420F2A">
        <w:rPr>
          <w:color w:val="31849B" w:themeColor="accent5" w:themeShade="BF"/>
        </w:rPr>
        <w:t>)</w:t>
      </w:r>
    </w:p>
    <w:p w14:paraId="49AD2415" w14:textId="77777777" w:rsidR="00E5281B" w:rsidRDefault="007B6788">
      <w:r>
        <w:t>Applies to: All learners, apprentices, staff, contractors, and visitors using Ascento systems or learning platforms.</w:t>
      </w:r>
    </w:p>
    <w:p w14:paraId="124E1592" w14:textId="77777777" w:rsidR="00E5281B" w:rsidRPr="00420F2A" w:rsidRDefault="007B6788">
      <w:pPr>
        <w:pStyle w:val="Heading2"/>
        <w:rPr>
          <w:color w:val="31849B" w:themeColor="accent5" w:themeShade="BF"/>
        </w:rPr>
      </w:pPr>
      <w:r w:rsidRPr="00420F2A">
        <w:rPr>
          <w:color w:val="31849B" w:themeColor="accent5" w:themeShade="BF"/>
        </w:rPr>
        <w:t>1. Purpose of This Policy</w:t>
      </w:r>
    </w:p>
    <w:p w14:paraId="589E30A5" w14:textId="219D0C6B" w:rsidR="00E5281B" w:rsidRDefault="00E562B2">
      <w:r w:rsidRPr="001F4D16">
        <w:t xml:space="preserve">JGW Training Ltd T/A </w:t>
      </w:r>
      <w:proofErr w:type="spellStart"/>
      <w:r w:rsidRPr="001F4D16">
        <w:t>Ascento</w:t>
      </w:r>
      <w:proofErr w:type="spellEnd"/>
      <w:r w:rsidRPr="001F4D16">
        <w:t xml:space="preserve"> </w:t>
      </w:r>
      <w:r>
        <w:t>(“</w:t>
      </w:r>
      <w:proofErr w:type="spellStart"/>
      <w:r>
        <w:t>Ascento</w:t>
      </w:r>
      <w:proofErr w:type="spellEnd"/>
      <w:r>
        <w:t>”, “we”, “us”)</w:t>
      </w:r>
      <w:r w:rsidR="007B6788">
        <w:t xml:space="preserve"> is committed to ensuring that all learners and staff can use digital technologies safely, responsibly, and confidently. This policy sets out expectations for safe online </w:t>
      </w:r>
      <w:proofErr w:type="spellStart"/>
      <w:r w:rsidR="007B6788">
        <w:t>behaviour</w:t>
      </w:r>
      <w:proofErr w:type="spellEnd"/>
      <w:r w:rsidR="007B6788">
        <w:t xml:space="preserve"> and explains how we manage risks associated with:</w:t>
      </w:r>
    </w:p>
    <w:p w14:paraId="47BD0308" w14:textId="570DCEE9" w:rsidR="00E5281B" w:rsidRDefault="007B6788" w:rsidP="004153B5">
      <w:pPr>
        <w:pStyle w:val="ListParagraph"/>
        <w:numPr>
          <w:ilvl w:val="0"/>
          <w:numId w:val="7"/>
        </w:numPr>
      </w:pPr>
      <w:r>
        <w:t>Online learning and remote delivery</w:t>
      </w:r>
    </w:p>
    <w:p w14:paraId="392A229F" w14:textId="62B2D71D" w:rsidR="00E5281B" w:rsidRDefault="007B6788" w:rsidP="004153B5">
      <w:pPr>
        <w:pStyle w:val="ListParagraph"/>
        <w:numPr>
          <w:ilvl w:val="0"/>
          <w:numId w:val="7"/>
        </w:numPr>
      </w:pPr>
      <w:r>
        <w:t>Use of digital platforms, AI tools, and collaboration systems</w:t>
      </w:r>
    </w:p>
    <w:p w14:paraId="207F0A00" w14:textId="3B0AAC71" w:rsidR="00E5281B" w:rsidRDefault="007B6788" w:rsidP="004153B5">
      <w:pPr>
        <w:pStyle w:val="ListParagraph"/>
        <w:numPr>
          <w:ilvl w:val="0"/>
          <w:numId w:val="7"/>
        </w:numPr>
      </w:pPr>
      <w:r>
        <w:t>Cyber‑security and data protection</w:t>
      </w:r>
    </w:p>
    <w:p w14:paraId="44AF6C7B" w14:textId="4F9B879D" w:rsidR="00E5281B" w:rsidRDefault="007B6788" w:rsidP="004153B5">
      <w:pPr>
        <w:pStyle w:val="ListParagraph"/>
        <w:numPr>
          <w:ilvl w:val="0"/>
          <w:numId w:val="7"/>
        </w:numPr>
      </w:pPr>
      <w:r>
        <w:t>Online communication and social media</w:t>
      </w:r>
    </w:p>
    <w:p w14:paraId="18E1734B" w14:textId="623E6819" w:rsidR="00E5281B" w:rsidRDefault="007B6788" w:rsidP="004153B5">
      <w:pPr>
        <w:pStyle w:val="ListParagraph"/>
        <w:numPr>
          <w:ilvl w:val="0"/>
          <w:numId w:val="7"/>
        </w:numPr>
      </w:pPr>
      <w:r>
        <w:t>Exposure to harmful or extremist content</w:t>
      </w:r>
    </w:p>
    <w:p w14:paraId="1C10B819" w14:textId="731538D6" w:rsidR="00E5281B" w:rsidRDefault="007B6788" w:rsidP="004153B5">
      <w:pPr>
        <w:pStyle w:val="ListParagraph"/>
        <w:numPr>
          <w:ilvl w:val="0"/>
          <w:numId w:val="7"/>
        </w:numPr>
      </w:pPr>
      <w:r>
        <w:t>Online bullying, harassment, or grooming</w:t>
      </w:r>
    </w:p>
    <w:p w14:paraId="4873653B" w14:textId="77777777" w:rsidR="00E5281B" w:rsidRDefault="00E5281B"/>
    <w:p w14:paraId="0DFF7396" w14:textId="77777777" w:rsidR="00E5281B" w:rsidRDefault="007B6788">
      <w:r>
        <w:t>This policy aligns with:</w:t>
      </w:r>
    </w:p>
    <w:p w14:paraId="1C01EB3B" w14:textId="44F4B97A" w:rsidR="00E5281B" w:rsidRDefault="007B6788" w:rsidP="004153B5">
      <w:pPr>
        <w:pStyle w:val="ListParagraph"/>
        <w:numPr>
          <w:ilvl w:val="0"/>
          <w:numId w:val="8"/>
        </w:numPr>
      </w:pPr>
      <w:r>
        <w:t>UK GDPR</w:t>
      </w:r>
    </w:p>
    <w:p w14:paraId="10A9F095" w14:textId="7618162A" w:rsidR="00E5281B" w:rsidRDefault="007B6788" w:rsidP="004153B5">
      <w:pPr>
        <w:pStyle w:val="ListParagraph"/>
        <w:numPr>
          <w:ilvl w:val="0"/>
          <w:numId w:val="8"/>
        </w:numPr>
      </w:pPr>
      <w:r>
        <w:t>Data Protection Act 2018</w:t>
      </w:r>
    </w:p>
    <w:p w14:paraId="627F35CE" w14:textId="350BB6CB" w:rsidR="00E5281B" w:rsidRDefault="007B6788" w:rsidP="004153B5">
      <w:pPr>
        <w:pStyle w:val="ListParagraph"/>
        <w:numPr>
          <w:ilvl w:val="0"/>
          <w:numId w:val="8"/>
        </w:numPr>
      </w:pPr>
      <w:r>
        <w:t>Data (Use and Access) Act 2025</w:t>
      </w:r>
    </w:p>
    <w:p w14:paraId="45400A16" w14:textId="793131BA" w:rsidR="00E5281B" w:rsidRDefault="007B6788" w:rsidP="004153B5">
      <w:pPr>
        <w:pStyle w:val="ListParagraph"/>
        <w:numPr>
          <w:ilvl w:val="0"/>
          <w:numId w:val="8"/>
        </w:numPr>
      </w:pPr>
      <w:r>
        <w:t>Department for Education (DfE) funding rules</w:t>
      </w:r>
    </w:p>
    <w:p w14:paraId="44CFB732" w14:textId="4A372608" w:rsidR="00E5281B" w:rsidRDefault="007B6788" w:rsidP="004153B5">
      <w:pPr>
        <w:pStyle w:val="ListParagraph"/>
        <w:numPr>
          <w:ilvl w:val="0"/>
          <w:numId w:val="8"/>
        </w:numPr>
      </w:pPr>
      <w:r>
        <w:t>Keeping Children Safe in Education (KCSIE)</w:t>
      </w:r>
    </w:p>
    <w:p w14:paraId="6FB3E4C2" w14:textId="02A9EC17" w:rsidR="00E5281B" w:rsidRDefault="007B6788" w:rsidP="004153B5">
      <w:pPr>
        <w:pStyle w:val="ListParagraph"/>
        <w:numPr>
          <w:ilvl w:val="0"/>
          <w:numId w:val="8"/>
        </w:numPr>
      </w:pPr>
      <w:r>
        <w:t>Prevent Duty Guidance</w:t>
      </w:r>
    </w:p>
    <w:p w14:paraId="635BE062" w14:textId="443D8536" w:rsidR="00E5281B" w:rsidRDefault="007B6788" w:rsidP="004153B5">
      <w:pPr>
        <w:pStyle w:val="ListParagraph"/>
        <w:numPr>
          <w:ilvl w:val="0"/>
          <w:numId w:val="8"/>
        </w:numPr>
      </w:pPr>
      <w:r>
        <w:t>Online Safety Act 2023</w:t>
      </w:r>
    </w:p>
    <w:p w14:paraId="56BBFDD2" w14:textId="2FFD8FE2" w:rsidR="00E5281B" w:rsidRDefault="007B6788" w:rsidP="004153B5">
      <w:pPr>
        <w:pStyle w:val="ListParagraph"/>
        <w:numPr>
          <w:ilvl w:val="0"/>
          <w:numId w:val="8"/>
        </w:numPr>
      </w:pPr>
      <w:r>
        <w:t>ICO guidance</w:t>
      </w:r>
    </w:p>
    <w:p w14:paraId="0505428D" w14:textId="77777777" w:rsidR="00E5281B" w:rsidRPr="00420F2A" w:rsidRDefault="007B6788">
      <w:pPr>
        <w:pStyle w:val="Heading2"/>
        <w:rPr>
          <w:color w:val="31849B" w:themeColor="accent5" w:themeShade="BF"/>
        </w:rPr>
      </w:pPr>
      <w:r w:rsidRPr="00420F2A">
        <w:rPr>
          <w:color w:val="31849B" w:themeColor="accent5" w:themeShade="BF"/>
        </w:rPr>
        <w:t>2. Scope</w:t>
      </w:r>
    </w:p>
    <w:p w14:paraId="35D6C5DC" w14:textId="77777777" w:rsidR="00E5281B" w:rsidRDefault="007B6788">
      <w:r>
        <w:t>This policy applies to all learners and staff when:</w:t>
      </w:r>
    </w:p>
    <w:p w14:paraId="0B7149F7" w14:textId="58C8E2B5" w:rsidR="00E5281B" w:rsidRDefault="007B6788" w:rsidP="004153B5">
      <w:pPr>
        <w:pStyle w:val="ListParagraph"/>
        <w:numPr>
          <w:ilvl w:val="0"/>
          <w:numId w:val="9"/>
        </w:numPr>
      </w:pPr>
      <w:r>
        <w:t>Using Ascento equipment, systems, or networks</w:t>
      </w:r>
    </w:p>
    <w:p w14:paraId="142F2F52" w14:textId="444A71CA" w:rsidR="00E5281B" w:rsidRDefault="007B6788" w:rsidP="004153B5">
      <w:pPr>
        <w:pStyle w:val="ListParagraph"/>
        <w:numPr>
          <w:ilvl w:val="0"/>
          <w:numId w:val="9"/>
        </w:numPr>
      </w:pPr>
      <w:r>
        <w:t>Accessing Ascento learning platforms (LMS</w:t>
      </w:r>
      <w:proofErr w:type="gramStart"/>
      <w:r>
        <w:t>, e‑</w:t>
      </w:r>
      <w:proofErr w:type="gramEnd"/>
      <w:r>
        <w:t>portfolio, video platforms)</w:t>
      </w:r>
    </w:p>
    <w:p w14:paraId="7137252B" w14:textId="2DFA8F21" w:rsidR="00E5281B" w:rsidRDefault="007B6788" w:rsidP="004153B5">
      <w:pPr>
        <w:pStyle w:val="ListParagraph"/>
        <w:numPr>
          <w:ilvl w:val="0"/>
          <w:numId w:val="9"/>
        </w:numPr>
      </w:pPr>
      <w:r>
        <w:t>Participating in remote or online learning</w:t>
      </w:r>
    </w:p>
    <w:p w14:paraId="6B99CE4A" w14:textId="4FF0AB38" w:rsidR="00E5281B" w:rsidRDefault="007B6788" w:rsidP="004153B5">
      <w:pPr>
        <w:pStyle w:val="ListParagraph"/>
        <w:numPr>
          <w:ilvl w:val="0"/>
          <w:numId w:val="9"/>
        </w:numPr>
      </w:pPr>
      <w:r>
        <w:t>Using personal devices for learning (“Bring Your Own Device”)</w:t>
      </w:r>
    </w:p>
    <w:p w14:paraId="068BEDD7" w14:textId="2D20086A" w:rsidR="00E5281B" w:rsidRDefault="007B6788" w:rsidP="004153B5">
      <w:pPr>
        <w:pStyle w:val="ListParagraph"/>
        <w:numPr>
          <w:ilvl w:val="0"/>
          <w:numId w:val="9"/>
        </w:numPr>
      </w:pPr>
      <w:r>
        <w:t>Communicating with Ascento staff or other learners</w:t>
      </w:r>
    </w:p>
    <w:p w14:paraId="412FF572" w14:textId="5ECAAE43" w:rsidR="00E5281B" w:rsidRDefault="007B6788" w:rsidP="004153B5">
      <w:pPr>
        <w:pStyle w:val="ListParagraph"/>
        <w:numPr>
          <w:ilvl w:val="0"/>
          <w:numId w:val="9"/>
        </w:numPr>
      </w:pPr>
      <w:r>
        <w:t>Representing Ascento online</w:t>
      </w:r>
    </w:p>
    <w:p w14:paraId="67E7F3EC" w14:textId="77777777" w:rsidR="00E5281B" w:rsidRPr="00420F2A" w:rsidRDefault="007B6788">
      <w:pPr>
        <w:pStyle w:val="Heading2"/>
        <w:rPr>
          <w:color w:val="31849B" w:themeColor="accent5" w:themeShade="BF"/>
        </w:rPr>
      </w:pPr>
      <w:r w:rsidRPr="00420F2A">
        <w:rPr>
          <w:color w:val="31849B" w:themeColor="accent5" w:themeShade="BF"/>
        </w:rPr>
        <w:lastRenderedPageBreak/>
        <w:t>3. Key Principles</w:t>
      </w:r>
    </w:p>
    <w:p w14:paraId="488598F3" w14:textId="77777777" w:rsidR="00E5281B" w:rsidRDefault="007B6788">
      <w:r>
        <w:t>Ascento promotes:</w:t>
      </w:r>
    </w:p>
    <w:p w14:paraId="4849718D" w14:textId="176FAD95" w:rsidR="00E5281B" w:rsidRDefault="007B6788" w:rsidP="004153B5">
      <w:pPr>
        <w:pStyle w:val="ListParagraph"/>
        <w:numPr>
          <w:ilvl w:val="0"/>
          <w:numId w:val="10"/>
        </w:numPr>
      </w:pPr>
      <w:r>
        <w:t>Safe and responsible use of technology</w:t>
      </w:r>
    </w:p>
    <w:p w14:paraId="44960ECE" w14:textId="568F2CC6" w:rsidR="00E5281B" w:rsidRDefault="007B6788" w:rsidP="004153B5">
      <w:pPr>
        <w:pStyle w:val="ListParagraph"/>
        <w:numPr>
          <w:ilvl w:val="0"/>
          <w:numId w:val="10"/>
        </w:numPr>
      </w:pPr>
      <w:r>
        <w:t xml:space="preserve">Protection from online harm, abuse, exploitation, and </w:t>
      </w:r>
      <w:proofErr w:type="spellStart"/>
      <w:r>
        <w:t>radicalisation</w:t>
      </w:r>
      <w:proofErr w:type="spellEnd"/>
    </w:p>
    <w:p w14:paraId="4BC2D3D8" w14:textId="10869665" w:rsidR="00E5281B" w:rsidRDefault="007B6788" w:rsidP="004153B5">
      <w:pPr>
        <w:pStyle w:val="ListParagraph"/>
        <w:numPr>
          <w:ilvl w:val="0"/>
          <w:numId w:val="10"/>
        </w:numPr>
      </w:pPr>
      <w:r>
        <w:t xml:space="preserve">Respectful and professional online </w:t>
      </w:r>
      <w:proofErr w:type="spellStart"/>
      <w:r>
        <w:t>behaviour</w:t>
      </w:r>
      <w:proofErr w:type="spellEnd"/>
    </w:p>
    <w:p w14:paraId="0C45EB99" w14:textId="1149187E" w:rsidR="00E5281B" w:rsidRDefault="007B6788" w:rsidP="004153B5">
      <w:pPr>
        <w:pStyle w:val="ListParagraph"/>
        <w:numPr>
          <w:ilvl w:val="0"/>
          <w:numId w:val="10"/>
        </w:numPr>
      </w:pPr>
      <w:r>
        <w:t>Awareness of digital footprints and reputational risk</w:t>
      </w:r>
    </w:p>
    <w:p w14:paraId="716C1629" w14:textId="63BEAC91" w:rsidR="00E5281B" w:rsidRDefault="007B6788" w:rsidP="004153B5">
      <w:pPr>
        <w:pStyle w:val="ListParagraph"/>
        <w:numPr>
          <w:ilvl w:val="0"/>
          <w:numId w:val="10"/>
        </w:numPr>
      </w:pPr>
      <w:r>
        <w:t>Secure handling of personal and sensitive data</w:t>
      </w:r>
    </w:p>
    <w:p w14:paraId="5A9B0AF8" w14:textId="22A933E3" w:rsidR="00E5281B" w:rsidRDefault="007B6788" w:rsidP="004153B5">
      <w:pPr>
        <w:pStyle w:val="ListParagraph"/>
        <w:numPr>
          <w:ilvl w:val="0"/>
          <w:numId w:val="10"/>
        </w:numPr>
      </w:pPr>
      <w:r>
        <w:t>Appropriate use of AI and digital tools</w:t>
      </w:r>
    </w:p>
    <w:p w14:paraId="0900B17A" w14:textId="77777777" w:rsidR="00E5281B" w:rsidRPr="00420F2A" w:rsidRDefault="007B6788">
      <w:pPr>
        <w:pStyle w:val="Heading2"/>
        <w:rPr>
          <w:color w:val="31849B" w:themeColor="accent5" w:themeShade="BF"/>
        </w:rPr>
      </w:pPr>
      <w:r w:rsidRPr="00420F2A">
        <w:rPr>
          <w:color w:val="31849B" w:themeColor="accent5" w:themeShade="BF"/>
        </w:rPr>
        <w:t>4. Online Safety Risks Covered</w:t>
      </w:r>
    </w:p>
    <w:p w14:paraId="7AA53F94" w14:textId="77777777" w:rsidR="00E5281B" w:rsidRDefault="007B6788">
      <w:r>
        <w:t>This policy addresses risks including:</w:t>
      </w:r>
    </w:p>
    <w:p w14:paraId="3084FBB1" w14:textId="28792DA8" w:rsidR="00E5281B" w:rsidRDefault="007B6788" w:rsidP="004153B5">
      <w:pPr>
        <w:pStyle w:val="ListParagraph"/>
        <w:numPr>
          <w:ilvl w:val="0"/>
          <w:numId w:val="11"/>
        </w:numPr>
      </w:pPr>
      <w:r>
        <w:t>Cyberbullying, harassment, trolling</w:t>
      </w:r>
    </w:p>
    <w:p w14:paraId="78B87091" w14:textId="7ADC95B9" w:rsidR="00E5281B" w:rsidRDefault="007B6788" w:rsidP="004153B5">
      <w:pPr>
        <w:pStyle w:val="ListParagraph"/>
        <w:numPr>
          <w:ilvl w:val="0"/>
          <w:numId w:val="11"/>
        </w:numPr>
      </w:pPr>
      <w:r>
        <w:t>Online grooming or exploitation</w:t>
      </w:r>
    </w:p>
    <w:p w14:paraId="56C35E84" w14:textId="740029C0" w:rsidR="00E5281B" w:rsidRDefault="007B6788" w:rsidP="004153B5">
      <w:pPr>
        <w:pStyle w:val="ListParagraph"/>
        <w:numPr>
          <w:ilvl w:val="0"/>
          <w:numId w:val="11"/>
        </w:numPr>
      </w:pPr>
      <w:r>
        <w:t xml:space="preserve">Exposure to extremist or </w:t>
      </w:r>
      <w:proofErr w:type="spellStart"/>
      <w:r>
        <w:t>radicalising</w:t>
      </w:r>
      <w:proofErr w:type="spellEnd"/>
      <w:r>
        <w:t xml:space="preserve"> content</w:t>
      </w:r>
    </w:p>
    <w:p w14:paraId="200DC0E7" w14:textId="02126F85" w:rsidR="00E5281B" w:rsidRDefault="007B6788" w:rsidP="004153B5">
      <w:pPr>
        <w:pStyle w:val="ListParagraph"/>
        <w:numPr>
          <w:ilvl w:val="0"/>
          <w:numId w:val="11"/>
        </w:numPr>
      </w:pPr>
      <w:r>
        <w:t>Fraud, phishing, identity theft</w:t>
      </w:r>
    </w:p>
    <w:p w14:paraId="4AAE1451" w14:textId="441AC191" w:rsidR="00E5281B" w:rsidRDefault="007B6788" w:rsidP="004153B5">
      <w:pPr>
        <w:pStyle w:val="ListParagraph"/>
        <w:numPr>
          <w:ilvl w:val="0"/>
          <w:numId w:val="11"/>
        </w:numPr>
      </w:pPr>
      <w:r>
        <w:t>Unsafe use of social media</w:t>
      </w:r>
    </w:p>
    <w:p w14:paraId="134E3C53" w14:textId="411DB072" w:rsidR="00E5281B" w:rsidRDefault="007B6788" w:rsidP="004153B5">
      <w:pPr>
        <w:pStyle w:val="ListParagraph"/>
        <w:numPr>
          <w:ilvl w:val="0"/>
          <w:numId w:val="11"/>
        </w:numPr>
      </w:pPr>
      <w:r>
        <w:t>Misuse of AI tools (e.g., cheating, harmful content generation)</w:t>
      </w:r>
    </w:p>
    <w:p w14:paraId="3B6CE7E9" w14:textId="1EE91107" w:rsidR="00E5281B" w:rsidRDefault="007B6788" w:rsidP="004153B5">
      <w:pPr>
        <w:pStyle w:val="ListParagraph"/>
        <w:numPr>
          <w:ilvl w:val="0"/>
          <w:numId w:val="11"/>
        </w:numPr>
      </w:pPr>
      <w:r>
        <w:t>Sharing inappropriate or illegal content</w:t>
      </w:r>
    </w:p>
    <w:p w14:paraId="5C09B27B" w14:textId="3C4877AB" w:rsidR="00E5281B" w:rsidRDefault="007B6788" w:rsidP="004153B5">
      <w:pPr>
        <w:pStyle w:val="ListParagraph"/>
        <w:numPr>
          <w:ilvl w:val="0"/>
          <w:numId w:val="11"/>
        </w:numPr>
      </w:pPr>
      <w:r>
        <w:t>Accessing harmful websites</w:t>
      </w:r>
    </w:p>
    <w:p w14:paraId="7B10F48B" w14:textId="3CC8AE69" w:rsidR="00E5281B" w:rsidRDefault="007B6788" w:rsidP="004153B5">
      <w:pPr>
        <w:pStyle w:val="ListParagraph"/>
        <w:numPr>
          <w:ilvl w:val="0"/>
          <w:numId w:val="11"/>
        </w:numPr>
      </w:pPr>
      <w:r>
        <w:t>Privacy breaches or unsafe data sharing</w:t>
      </w:r>
    </w:p>
    <w:p w14:paraId="54826CDC" w14:textId="77777777" w:rsidR="00E5281B" w:rsidRPr="00420F2A" w:rsidRDefault="007B6788">
      <w:pPr>
        <w:pStyle w:val="Heading2"/>
        <w:rPr>
          <w:color w:val="31849B" w:themeColor="accent5" w:themeShade="BF"/>
        </w:rPr>
      </w:pPr>
      <w:r w:rsidRPr="00420F2A">
        <w:rPr>
          <w:color w:val="31849B" w:themeColor="accent5" w:themeShade="BF"/>
        </w:rPr>
        <w:t>5. Learner Responsibilities</w:t>
      </w:r>
    </w:p>
    <w:p w14:paraId="2A971136" w14:textId="77777777" w:rsidR="00E5281B" w:rsidRDefault="007B6788">
      <w:r>
        <w:t>5.1 Use of Technology</w:t>
      </w:r>
    </w:p>
    <w:p w14:paraId="007BFD91" w14:textId="44D0C762" w:rsidR="00E5281B" w:rsidRDefault="007B6788" w:rsidP="004153B5">
      <w:pPr>
        <w:pStyle w:val="ListParagraph"/>
        <w:numPr>
          <w:ilvl w:val="0"/>
          <w:numId w:val="12"/>
        </w:numPr>
      </w:pPr>
      <w:r>
        <w:t>Use Ascento systems, platforms, and devices responsibly and for learning purposes only.</w:t>
      </w:r>
    </w:p>
    <w:p w14:paraId="2FBB58F3" w14:textId="135698BF" w:rsidR="00E5281B" w:rsidRDefault="007B6788" w:rsidP="004153B5">
      <w:pPr>
        <w:pStyle w:val="ListParagraph"/>
        <w:numPr>
          <w:ilvl w:val="0"/>
          <w:numId w:val="12"/>
        </w:numPr>
      </w:pPr>
      <w:r>
        <w:t>Keep login details secure and never share passwords.</w:t>
      </w:r>
    </w:p>
    <w:p w14:paraId="415041BD" w14:textId="51CE2127" w:rsidR="00E5281B" w:rsidRDefault="007B6788" w:rsidP="004153B5">
      <w:pPr>
        <w:pStyle w:val="ListParagraph"/>
        <w:numPr>
          <w:ilvl w:val="0"/>
          <w:numId w:val="12"/>
        </w:numPr>
      </w:pPr>
      <w:r>
        <w:t>Ensure personal devices used for learning have up‑to‑date antivirus and security settings.</w:t>
      </w:r>
    </w:p>
    <w:p w14:paraId="3EF6BE5F" w14:textId="77777777" w:rsidR="00E5281B" w:rsidRDefault="00E5281B"/>
    <w:p w14:paraId="1AF2286B" w14:textId="77777777" w:rsidR="00E5281B" w:rsidRDefault="007B6788">
      <w:r>
        <w:t xml:space="preserve">5.2 </w:t>
      </w:r>
      <w:proofErr w:type="spellStart"/>
      <w:r>
        <w:t>Behaviour</w:t>
      </w:r>
      <w:proofErr w:type="spellEnd"/>
      <w:r>
        <w:t xml:space="preserve"> Online</w:t>
      </w:r>
    </w:p>
    <w:p w14:paraId="5705458B" w14:textId="3E948CE9" w:rsidR="00E5281B" w:rsidRDefault="007B6788" w:rsidP="004153B5">
      <w:pPr>
        <w:pStyle w:val="ListParagraph"/>
        <w:numPr>
          <w:ilvl w:val="0"/>
          <w:numId w:val="13"/>
        </w:numPr>
      </w:pPr>
      <w:r>
        <w:t>Communicate respectfully with staff and peers.</w:t>
      </w:r>
    </w:p>
    <w:p w14:paraId="0049D9F0" w14:textId="68FA98F2" w:rsidR="00E5281B" w:rsidRDefault="007B6788" w:rsidP="004153B5">
      <w:pPr>
        <w:pStyle w:val="ListParagraph"/>
        <w:numPr>
          <w:ilvl w:val="0"/>
          <w:numId w:val="13"/>
        </w:numPr>
      </w:pPr>
      <w:r>
        <w:t>Not engage in cyberbullying, harassment, discrimination, or intimidation.</w:t>
      </w:r>
    </w:p>
    <w:p w14:paraId="2C3A8A01" w14:textId="424FDF13" w:rsidR="00E5281B" w:rsidRDefault="007B6788" w:rsidP="004153B5">
      <w:pPr>
        <w:pStyle w:val="ListParagraph"/>
        <w:numPr>
          <w:ilvl w:val="0"/>
          <w:numId w:val="13"/>
        </w:numPr>
      </w:pPr>
      <w:r>
        <w:t>Not create, share, or access inappropriate, harmful, or illegal content.</w:t>
      </w:r>
    </w:p>
    <w:p w14:paraId="43CE6EA6" w14:textId="03D7B5F8" w:rsidR="00E5281B" w:rsidRDefault="007B6788" w:rsidP="007B6788">
      <w:pPr>
        <w:pStyle w:val="ListParagraph"/>
        <w:numPr>
          <w:ilvl w:val="0"/>
          <w:numId w:val="13"/>
        </w:numPr>
      </w:pPr>
      <w:r>
        <w:t xml:space="preserve">Not </w:t>
      </w:r>
      <w:proofErr w:type="gramStart"/>
      <w:r>
        <w:t>use</w:t>
      </w:r>
      <w:proofErr w:type="gramEnd"/>
      <w:r>
        <w:t xml:space="preserve"> AI tools to cheat, </w:t>
      </w:r>
      <w:proofErr w:type="spellStart"/>
      <w:r>
        <w:t>plagiarise</w:t>
      </w:r>
      <w:proofErr w:type="spellEnd"/>
      <w:r>
        <w:t>, or generate harmful material.</w:t>
      </w:r>
    </w:p>
    <w:p w14:paraId="6177AD12" w14:textId="77777777" w:rsidR="00E5281B" w:rsidRDefault="007B6788">
      <w:r>
        <w:t>5.3 Safeguarding &amp; Prevent</w:t>
      </w:r>
    </w:p>
    <w:p w14:paraId="4737726A" w14:textId="6F0CA72B" w:rsidR="00E5281B" w:rsidRDefault="007B6788" w:rsidP="004153B5">
      <w:pPr>
        <w:pStyle w:val="ListParagraph"/>
        <w:numPr>
          <w:ilvl w:val="0"/>
          <w:numId w:val="14"/>
        </w:numPr>
      </w:pPr>
      <w:r>
        <w:t xml:space="preserve">Report any extremist, </w:t>
      </w:r>
      <w:proofErr w:type="spellStart"/>
      <w:r>
        <w:t>radicalising</w:t>
      </w:r>
      <w:proofErr w:type="spellEnd"/>
      <w:r>
        <w:t>, or concerning content encountered online.</w:t>
      </w:r>
    </w:p>
    <w:p w14:paraId="2266BC03" w14:textId="27E5C82F" w:rsidR="00E5281B" w:rsidRDefault="007B6788" w:rsidP="007B6788">
      <w:pPr>
        <w:pStyle w:val="ListParagraph"/>
        <w:numPr>
          <w:ilvl w:val="0"/>
          <w:numId w:val="14"/>
        </w:numPr>
      </w:pPr>
      <w:r>
        <w:t>Avoid engaging with or sharing harmful political, extremist, or violent material.</w:t>
      </w:r>
    </w:p>
    <w:p w14:paraId="5A4781C6" w14:textId="77777777" w:rsidR="00E5281B" w:rsidRDefault="007B6788">
      <w:r>
        <w:lastRenderedPageBreak/>
        <w:t>5.4 Data &amp; Privacy</w:t>
      </w:r>
    </w:p>
    <w:p w14:paraId="044A7C19" w14:textId="056D9134" w:rsidR="00E5281B" w:rsidRDefault="007B6788" w:rsidP="004153B5">
      <w:pPr>
        <w:pStyle w:val="ListParagraph"/>
        <w:numPr>
          <w:ilvl w:val="0"/>
          <w:numId w:val="15"/>
        </w:numPr>
      </w:pPr>
      <w:r>
        <w:t>Protect personal information and that of others.</w:t>
      </w:r>
    </w:p>
    <w:p w14:paraId="421A5998" w14:textId="6D1F43DE" w:rsidR="00E5281B" w:rsidRDefault="007B6788" w:rsidP="007B6788">
      <w:pPr>
        <w:pStyle w:val="ListParagraph"/>
        <w:numPr>
          <w:ilvl w:val="0"/>
          <w:numId w:val="15"/>
        </w:numPr>
      </w:pPr>
      <w:r>
        <w:t>Not record, screenshot, or share online sessions without permission.</w:t>
      </w:r>
    </w:p>
    <w:p w14:paraId="07EBF5FD" w14:textId="77777777" w:rsidR="00E5281B" w:rsidRDefault="007B6788">
      <w:r>
        <w:t>5.5 Remote Learning</w:t>
      </w:r>
    </w:p>
    <w:p w14:paraId="02488F41" w14:textId="30C3CA5C" w:rsidR="00E5281B" w:rsidRDefault="007B6788" w:rsidP="004153B5">
      <w:pPr>
        <w:pStyle w:val="ListParagraph"/>
        <w:numPr>
          <w:ilvl w:val="0"/>
          <w:numId w:val="16"/>
        </w:numPr>
      </w:pPr>
      <w:r>
        <w:t>Attend online sessions in an appropriate environment.</w:t>
      </w:r>
    </w:p>
    <w:p w14:paraId="34AC67C3" w14:textId="4E18264B" w:rsidR="00E5281B" w:rsidRDefault="007B6788" w:rsidP="004153B5">
      <w:pPr>
        <w:pStyle w:val="ListParagraph"/>
        <w:numPr>
          <w:ilvl w:val="0"/>
          <w:numId w:val="16"/>
        </w:numPr>
      </w:pPr>
      <w:r>
        <w:t>Keep cameras on when required by tutors (unless agreed otherwise).</w:t>
      </w:r>
    </w:p>
    <w:p w14:paraId="551571B1" w14:textId="4FCF02AA" w:rsidR="00E5281B" w:rsidRDefault="007B6788" w:rsidP="004153B5">
      <w:pPr>
        <w:pStyle w:val="ListParagraph"/>
        <w:numPr>
          <w:ilvl w:val="0"/>
          <w:numId w:val="16"/>
        </w:numPr>
      </w:pPr>
      <w:r>
        <w:t>Dress appropriately and behave professionally during online sessions.</w:t>
      </w:r>
    </w:p>
    <w:p w14:paraId="32B77994" w14:textId="77777777" w:rsidR="00E5281B" w:rsidRPr="00420F2A" w:rsidRDefault="007B6788">
      <w:pPr>
        <w:pStyle w:val="Heading2"/>
        <w:rPr>
          <w:color w:val="31849B" w:themeColor="accent5" w:themeShade="BF"/>
        </w:rPr>
      </w:pPr>
      <w:r w:rsidRPr="00420F2A">
        <w:rPr>
          <w:color w:val="31849B" w:themeColor="accent5" w:themeShade="BF"/>
        </w:rPr>
        <w:t>6. Staff Responsibilities</w:t>
      </w:r>
    </w:p>
    <w:p w14:paraId="43BFFA48" w14:textId="77777777" w:rsidR="00E5281B" w:rsidRDefault="007B6788">
      <w:r>
        <w:t>Staff must:</w:t>
      </w:r>
    </w:p>
    <w:p w14:paraId="36F17BFE" w14:textId="1BA43886" w:rsidR="00E5281B" w:rsidRDefault="007B6788" w:rsidP="004153B5">
      <w:pPr>
        <w:pStyle w:val="ListParagraph"/>
        <w:numPr>
          <w:ilvl w:val="0"/>
          <w:numId w:val="17"/>
        </w:numPr>
      </w:pPr>
      <w:r>
        <w:t xml:space="preserve">Model safe and responsible online </w:t>
      </w:r>
      <w:proofErr w:type="spellStart"/>
      <w:r>
        <w:t>behaviour</w:t>
      </w:r>
      <w:proofErr w:type="spellEnd"/>
      <w:r>
        <w:t>.</w:t>
      </w:r>
    </w:p>
    <w:p w14:paraId="692E7EF6" w14:textId="59E3C247" w:rsidR="00E5281B" w:rsidRDefault="007B6788" w:rsidP="004153B5">
      <w:pPr>
        <w:pStyle w:val="ListParagraph"/>
        <w:numPr>
          <w:ilvl w:val="0"/>
          <w:numId w:val="17"/>
        </w:numPr>
      </w:pPr>
      <w:r>
        <w:t>Use approved platforms for communication and teaching.</w:t>
      </w:r>
    </w:p>
    <w:p w14:paraId="37C98C58" w14:textId="5E993710" w:rsidR="00E5281B" w:rsidRDefault="007B6788" w:rsidP="004153B5">
      <w:pPr>
        <w:pStyle w:val="ListParagraph"/>
        <w:numPr>
          <w:ilvl w:val="0"/>
          <w:numId w:val="17"/>
        </w:numPr>
      </w:pPr>
      <w:r>
        <w:t>Report safeguarding or Prevent concerns immediately.</w:t>
      </w:r>
    </w:p>
    <w:p w14:paraId="4A19D1CD" w14:textId="09F4486B" w:rsidR="00E5281B" w:rsidRDefault="007B6788" w:rsidP="004153B5">
      <w:pPr>
        <w:pStyle w:val="ListParagraph"/>
        <w:numPr>
          <w:ilvl w:val="0"/>
          <w:numId w:val="17"/>
        </w:numPr>
      </w:pPr>
      <w:r>
        <w:t xml:space="preserve">Ensure online sessions follow </w:t>
      </w:r>
      <w:proofErr w:type="spellStart"/>
      <w:r>
        <w:t>Ascento’s</w:t>
      </w:r>
      <w:proofErr w:type="spellEnd"/>
      <w:r>
        <w:t xml:space="preserve"> remote‑learning standards.</w:t>
      </w:r>
    </w:p>
    <w:p w14:paraId="5B928A66" w14:textId="31992249" w:rsidR="00E5281B" w:rsidRDefault="007B6788" w:rsidP="004153B5">
      <w:pPr>
        <w:pStyle w:val="ListParagraph"/>
        <w:numPr>
          <w:ilvl w:val="0"/>
          <w:numId w:val="17"/>
        </w:numPr>
      </w:pPr>
      <w:r>
        <w:t xml:space="preserve">Challenge inappropriate </w:t>
      </w:r>
      <w:proofErr w:type="spellStart"/>
      <w:r>
        <w:t>behaviour</w:t>
      </w:r>
      <w:proofErr w:type="spellEnd"/>
      <w:r>
        <w:t xml:space="preserve"> or unsafe digital practices.</w:t>
      </w:r>
    </w:p>
    <w:p w14:paraId="1FD45E99" w14:textId="77777777" w:rsidR="00E5281B" w:rsidRPr="00420F2A" w:rsidRDefault="007B6788">
      <w:pPr>
        <w:pStyle w:val="Heading2"/>
        <w:rPr>
          <w:color w:val="31849B" w:themeColor="accent5" w:themeShade="BF"/>
        </w:rPr>
      </w:pPr>
      <w:r w:rsidRPr="00420F2A">
        <w:rPr>
          <w:color w:val="31849B" w:themeColor="accent5" w:themeShade="BF"/>
        </w:rPr>
        <w:t>7. Reporting Concerns</w:t>
      </w:r>
    </w:p>
    <w:p w14:paraId="313DCA81" w14:textId="77777777" w:rsidR="00E5281B" w:rsidRDefault="007B6788">
      <w:r>
        <w:t>Learners and staff must report:</w:t>
      </w:r>
    </w:p>
    <w:p w14:paraId="2A8E962C" w14:textId="177B5457" w:rsidR="00E5281B" w:rsidRDefault="007B6788" w:rsidP="004153B5">
      <w:pPr>
        <w:pStyle w:val="ListParagraph"/>
        <w:numPr>
          <w:ilvl w:val="0"/>
          <w:numId w:val="18"/>
        </w:numPr>
      </w:pPr>
      <w:r>
        <w:t>Cyberbullying</w:t>
      </w:r>
    </w:p>
    <w:p w14:paraId="3B23F19F" w14:textId="042AE178" w:rsidR="00E5281B" w:rsidRDefault="007B6788" w:rsidP="004153B5">
      <w:pPr>
        <w:pStyle w:val="ListParagraph"/>
        <w:numPr>
          <w:ilvl w:val="0"/>
          <w:numId w:val="18"/>
        </w:numPr>
      </w:pPr>
      <w:r>
        <w:t xml:space="preserve">Suspicious online </w:t>
      </w:r>
      <w:proofErr w:type="spellStart"/>
      <w:r>
        <w:t>behaviour</w:t>
      </w:r>
      <w:proofErr w:type="spellEnd"/>
    </w:p>
    <w:p w14:paraId="6CF94038" w14:textId="5D988E2D" w:rsidR="00E5281B" w:rsidRDefault="007B6788" w:rsidP="004153B5">
      <w:pPr>
        <w:pStyle w:val="ListParagraph"/>
        <w:numPr>
          <w:ilvl w:val="0"/>
          <w:numId w:val="18"/>
        </w:numPr>
      </w:pPr>
      <w:r>
        <w:t>Grooming or exploitation concerns</w:t>
      </w:r>
    </w:p>
    <w:p w14:paraId="31218DEB" w14:textId="4B548610" w:rsidR="00E5281B" w:rsidRDefault="007B6788" w:rsidP="004153B5">
      <w:pPr>
        <w:pStyle w:val="ListParagraph"/>
        <w:numPr>
          <w:ilvl w:val="0"/>
          <w:numId w:val="18"/>
        </w:numPr>
      </w:pPr>
      <w:r>
        <w:t xml:space="preserve">Exposure to extremist or </w:t>
      </w:r>
      <w:proofErr w:type="spellStart"/>
      <w:r>
        <w:t>radicalising</w:t>
      </w:r>
      <w:proofErr w:type="spellEnd"/>
      <w:r>
        <w:t xml:space="preserve"> content</w:t>
      </w:r>
    </w:p>
    <w:p w14:paraId="6F4E47A9" w14:textId="0D441635" w:rsidR="00E5281B" w:rsidRDefault="007B6788" w:rsidP="004153B5">
      <w:pPr>
        <w:pStyle w:val="ListParagraph"/>
        <w:numPr>
          <w:ilvl w:val="0"/>
          <w:numId w:val="18"/>
        </w:numPr>
      </w:pPr>
      <w:r>
        <w:t>Inappropriate messages or images</w:t>
      </w:r>
    </w:p>
    <w:p w14:paraId="29200FB0" w14:textId="55F0A913" w:rsidR="00E5281B" w:rsidRDefault="007B6788" w:rsidP="004153B5">
      <w:pPr>
        <w:pStyle w:val="ListParagraph"/>
        <w:numPr>
          <w:ilvl w:val="0"/>
          <w:numId w:val="18"/>
        </w:numPr>
      </w:pPr>
      <w:r>
        <w:t>Security breaches or phishing attempts</w:t>
      </w:r>
    </w:p>
    <w:p w14:paraId="4E069EFD" w14:textId="76BE886F" w:rsidR="00E5281B" w:rsidRDefault="007B6788" w:rsidP="004153B5">
      <w:pPr>
        <w:pStyle w:val="ListParagraph"/>
        <w:numPr>
          <w:ilvl w:val="0"/>
          <w:numId w:val="18"/>
        </w:numPr>
      </w:pPr>
      <w:r>
        <w:t>Misuse of AI tools</w:t>
      </w:r>
    </w:p>
    <w:p w14:paraId="6F0E37C2" w14:textId="77777777" w:rsidR="00E5281B" w:rsidRDefault="00E5281B"/>
    <w:p w14:paraId="33961281" w14:textId="77777777" w:rsidR="007B6788" w:rsidRDefault="007B6788"/>
    <w:p w14:paraId="0F7E043E" w14:textId="056CA22C" w:rsidR="00E5281B" w:rsidRDefault="007B6788">
      <w:r>
        <w:t>Reports can be made to:</w:t>
      </w:r>
    </w:p>
    <w:p w14:paraId="70756E40" w14:textId="350FAC1F" w:rsidR="00E5281B" w:rsidRDefault="007B6788" w:rsidP="004153B5">
      <w:pPr>
        <w:pStyle w:val="ListParagraph"/>
        <w:numPr>
          <w:ilvl w:val="0"/>
          <w:numId w:val="19"/>
        </w:numPr>
      </w:pPr>
      <w:r>
        <w:t>Safeguarding Lead</w:t>
      </w:r>
    </w:p>
    <w:p w14:paraId="64138223" w14:textId="25D53A87" w:rsidR="00E5281B" w:rsidRDefault="007B6788" w:rsidP="004153B5">
      <w:pPr>
        <w:pStyle w:val="ListParagraph"/>
        <w:numPr>
          <w:ilvl w:val="0"/>
          <w:numId w:val="19"/>
        </w:numPr>
      </w:pPr>
      <w:r>
        <w:t>Tutor or Skills Coach</w:t>
      </w:r>
    </w:p>
    <w:p w14:paraId="5B746057" w14:textId="2A10F929" w:rsidR="00E5281B" w:rsidRDefault="007B6788" w:rsidP="004153B5">
      <w:pPr>
        <w:pStyle w:val="ListParagraph"/>
        <w:numPr>
          <w:ilvl w:val="0"/>
          <w:numId w:val="19"/>
        </w:numPr>
      </w:pPr>
      <w:r>
        <w:t>Line Manager</w:t>
      </w:r>
    </w:p>
    <w:p w14:paraId="1AA0CB77" w14:textId="5E1F2D3C" w:rsidR="00E5281B" w:rsidRDefault="007B6788" w:rsidP="004153B5">
      <w:pPr>
        <w:pStyle w:val="ListParagraph"/>
        <w:numPr>
          <w:ilvl w:val="0"/>
          <w:numId w:val="19"/>
        </w:numPr>
      </w:pPr>
      <w:r>
        <w:t>Designated Prevent Lead</w:t>
      </w:r>
    </w:p>
    <w:p w14:paraId="25AA5040" w14:textId="195D05BC" w:rsidR="00E5281B" w:rsidRDefault="007B6788" w:rsidP="004153B5">
      <w:pPr>
        <w:pStyle w:val="ListParagraph"/>
        <w:numPr>
          <w:ilvl w:val="0"/>
          <w:numId w:val="19"/>
        </w:numPr>
      </w:pPr>
      <w:r>
        <w:t>Data Protection Officer</w:t>
      </w:r>
    </w:p>
    <w:p w14:paraId="11D56DB0" w14:textId="77777777" w:rsidR="00E5281B" w:rsidRDefault="00E5281B"/>
    <w:p w14:paraId="43DDA286" w14:textId="77777777" w:rsidR="00E5281B" w:rsidRDefault="007B6788">
      <w:r>
        <w:t>Emergency concerns (immediate risk of harm) should be reported to 999.</w:t>
      </w:r>
    </w:p>
    <w:p w14:paraId="28B0C141" w14:textId="77777777" w:rsidR="00E5281B" w:rsidRPr="00420F2A" w:rsidRDefault="007B6788">
      <w:pPr>
        <w:pStyle w:val="Heading2"/>
        <w:rPr>
          <w:color w:val="31849B" w:themeColor="accent5" w:themeShade="BF"/>
        </w:rPr>
      </w:pPr>
      <w:r w:rsidRPr="00420F2A">
        <w:rPr>
          <w:color w:val="31849B" w:themeColor="accent5" w:themeShade="BF"/>
        </w:rPr>
        <w:lastRenderedPageBreak/>
        <w:t>8. Sanctions for Misuse</w:t>
      </w:r>
    </w:p>
    <w:p w14:paraId="1FF29489" w14:textId="77777777" w:rsidR="00E5281B" w:rsidRDefault="007B6788">
      <w:r>
        <w:t>For learners:</w:t>
      </w:r>
    </w:p>
    <w:p w14:paraId="38390EE8" w14:textId="01933DFB" w:rsidR="00E5281B" w:rsidRDefault="007B6788" w:rsidP="004153B5">
      <w:pPr>
        <w:pStyle w:val="ListParagraph"/>
        <w:numPr>
          <w:ilvl w:val="0"/>
          <w:numId w:val="20"/>
        </w:numPr>
      </w:pPr>
      <w:r>
        <w:t>Verbal or written warnings</w:t>
      </w:r>
    </w:p>
    <w:p w14:paraId="7FFDAA87" w14:textId="0DF228D3" w:rsidR="00E5281B" w:rsidRDefault="007B6788" w:rsidP="004153B5">
      <w:pPr>
        <w:pStyle w:val="ListParagraph"/>
        <w:numPr>
          <w:ilvl w:val="0"/>
          <w:numId w:val="20"/>
        </w:numPr>
      </w:pPr>
      <w:r>
        <w:t>Removal of platform access</w:t>
      </w:r>
    </w:p>
    <w:p w14:paraId="4183EB7D" w14:textId="38568981" w:rsidR="00E5281B" w:rsidRDefault="007B6788" w:rsidP="004153B5">
      <w:pPr>
        <w:pStyle w:val="ListParagraph"/>
        <w:numPr>
          <w:ilvl w:val="0"/>
          <w:numId w:val="20"/>
        </w:numPr>
      </w:pPr>
      <w:r>
        <w:t xml:space="preserve">Suspension from </w:t>
      </w:r>
      <w:proofErr w:type="spellStart"/>
      <w:r>
        <w:t>programme</w:t>
      </w:r>
      <w:proofErr w:type="spellEnd"/>
      <w:r>
        <w:t xml:space="preserve"> activities</w:t>
      </w:r>
    </w:p>
    <w:p w14:paraId="7CEDEA5B" w14:textId="7659273C" w:rsidR="00E5281B" w:rsidRDefault="007B6788" w:rsidP="004153B5">
      <w:pPr>
        <w:pStyle w:val="ListParagraph"/>
        <w:numPr>
          <w:ilvl w:val="0"/>
          <w:numId w:val="20"/>
        </w:numPr>
      </w:pPr>
      <w:r>
        <w:t>Disciplinary action under the Learner Code of Conduct</w:t>
      </w:r>
    </w:p>
    <w:p w14:paraId="4E449DFE" w14:textId="4F758388" w:rsidR="00E5281B" w:rsidRDefault="007B6788" w:rsidP="004153B5">
      <w:pPr>
        <w:pStyle w:val="ListParagraph"/>
        <w:numPr>
          <w:ilvl w:val="0"/>
          <w:numId w:val="20"/>
        </w:numPr>
      </w:pPr>
      <w:r>
        <w:t xml:space="preserve">Withdrawal from </w:t>
      </w:r>
      <w:proofErr w:type="spellStart"/>
      <w:r>
        <w:t>programme</w:t>
      </w:r>
      <w:proofErr w:type="spellEnd"/>
      <w:r>
        <w:t xml:space="preserve"> (in serious cases)</w:t>
      </w:r>
    </w:p>
    <w:p w14:paraId="396DF9B5" w14:textId="3364DB9F" w:rsidR="00E5281B" w:rsidRDefault="007B6788" w:rsidP="004153B5">
      <w:pPr>
        <w:pStyle w:val="ListParagraph"/>
        <w:numPr>
          <w:ilvl w:val="0"/>
          <w:numId w:val="20"/>
        </w:numPr>
      </w:pPr>
      <w:r>
        <w:t>Referral to external agencies (e.g., police, Prevent, safeguarding partners)</w:t>
      </w:r>
    </w:p>
    <w:p w14:paraId="4B1165D3" w14:textId="77777777" w:rsidR="00E5281B" w:rsidRDefault="00E5281B"/>
    <w:p w14:paraId="757C3E05" w14:textId="77777777" w:rsidR="00E5281B" w:rsidRDefault="007B6788">
      <w:r>
        <w:t>For staff:</w:t>
      </w:r>
    </w:p>
    <w:p w14:paraId="3A643503" w14:textId="6EFC20BC" w:rsidR="00E5281B" w:rsidRDefault="007B6788" w:rsidP="004153B5">
      <w:pPr>
        <w:pStyle w:val="ListParagraph"/>
        <w:numPr>
          <w:ilvl w:val="0"/>
          <w:numId w:val="21"/>
        </w:numPr>
      </w:pPr>
      <w:r>
        <w:t>Formal HR disciplinary action</w:t>
      </w:r>
    </w:p>
    <w:p w14:paraId="31527CD9" w14:textId="76F12312" w:rsidR="00E5281B" w:rsidRDefault="007B6788" w:rsidP="004153B5">
      <w:pPr>
        <w:pStyle w:val="ListParagraph"/>
        <w:numPr>
          <w:ilvl w:val="0"/>
          <w:numId w:val="21"/>
        </w:numPr>
      </w:pPr>
      <w:r>
        <w:t>Suspension or dismissal</w:t>
      </w:r>
    </w:p>
    <w:p w14:paraId="448C529E" w14:textId="3068E574" w:rsidR="00E5281B" w:rsidRDefault="007B6788" w:rsidP="004153B5">
      <w:pPr>
        <w:pStyle w:val="ListParagraph"/>
        <w:numPr>
          <w:ilvl w:val="0"/>
          <w:numId w:val="21"/>
        </w:numPr>
      </w:pPr>
      <w:r>
        <w:t>Referral to external authorities where required</w:t>
      </w:r>
    </w:p>
    <w:p w14:paraId="564A63AB" w14:textId="77777777" w:rsidR="00E5281B" w:rsidRPr="00420F2A" w:rsidRDefault="007B6788">
      <w:pPr>
        <w:pStyle w:val="Heading2"/>
        <w:rPr>
          <w:color w:val="31849B" w:themeColor="accent5" w:themeShade="BF"/>
        </w:rPr>
      </w:pPr>
      <w:r w:rsidRPr="00420F2A">
        <w:rPr>
          <w:color w:val="31849B" w:themeColor="accent5" w:themeShade="BF"/>
        </w:rPr>
        <w:t>9. Cyber‑Security Measures</w:t>
      </w:r>
    </w:p>
    <w:p w14:paraId="7EDE8304" w14:textId="77777777" w:rsidR="00E5281B" w:rsidRDefault="007B6788">
      <w:r>
        <w:t>Ascento uses:</w:t>
      </w:r>
    </w:p>
    <w:p w14:paraId="39551FDF" w14:textId="213B1714" w:rsidR="00E5281B" w:rsidRDefault="007B6788" w:rsidP="004153B5">
      <w:pPr>
        <w:pStyle w:val="ListParagraph"/>
        <w:numPr>
          <w:ilvl w:val="0"/>
          <w:numId w:val="22"/>
        </w:numPr>
      </w:pPr>
      <w:r>
        <w:t>Multi‑factor authentication</w:t>
      </w:r>
    </w:p>
    <w:p w14:paraId="11B48BC0" w14:textId="1E1C714F" w:rsidR="00E5281B" w:rsidRDefault="007B6788" w:rsidP="004153B5">
      <w:pPr>
        <w:pStyle w:val="ListParagraph"/>
        <w:numPr>
          <w:ilvl w:val="0"/>
          <w:numId w:val="22"/>
        </w:numPr>
      </w:pPr>
      <w:r>
        <w:t>Encrypted systems</w:t>
      </w:r>
    </w:p>
    <w:p w14:paraId="56620124" w14:textId="02C0DDA7" w:rsidR="00E5281B" w:rsidRDefault="007B6788" w:rsidP="004153B5">
      <w:pPr>
        <w:pStyle w:val="ListParagraph"/>
        <w:numPr>
          <w:ilvl w:val="0"/>
          <w:numId w:val="22"/>
        </w:numPr>
      </w:pPr>
      <w:r>
        <w:t>Secure learning platforms</w:t>
      </w:r>
    </w:p>
    <w:p w14:paraId="08D2AB5B" w14:textId="1001B31E" w:rsidR="00E5281B" w:rsidRDefault="007B6788" w:rsidP="004153B5">
      <w:pPr>
        <w:pStyle w:val="ListParagraph"/>
        <w:numPr>
          <w:ilvl w:val="0"/>
          <w:numId w:val="22"/>
        </w:numPr>
      </w:pPr>
      <w:r>
        <w:t>Regular monitoring and audits</w:t>
      </w:r>
    </w:p>
    <w:p w14:paraId="15047D68" w14:textId="3F005B56" w:rsidR="00E5281B" w:rsidRDefault="007B6788" w:rsidP="004153B5">
      <w:pPr>
        <w:pStyle w:val="ListParagraph"/>
        <w:numPr>
          <w:ilvl w:val="0"/>
          <w:numId w:val="22"/>
        </w:numPr>
      </w:pPr>
      <w:r>
        <w:t>Staff training</w:t>
      </w:r>
    </w:p>
    <w:p w14:paraId="684BACDC" w14:textId="48CDA7EA" w:rsidR="00E5281B" w:rsidRDefault="007B6788" w:rsidP="004153B5">
      <w:pPr>
        <w:pStyle w:val="ListParagraph"/>
        <w:numPr>
          <w:ilvl w:val="0"/>
          <w:numId w:val="22"/>
        </w:numPr>
      </w:pPr>
      <w:r>
        <w:t>Incident‑response procedures</w:t>
      </w:r>
    </w:p>
    <w:p w14:paraId="3A3368F6" w14:textId="77777777" w:rsidR="00E5281B" w:rsidRDefault="00E5281B"/>
    <w:p w14:paraId="614E7491" w14:textId="77777777" w:rsidR="00E5281B" w:rsidRDefault="007B6788">
      <w:r>
        <w:t>Learners must follow cyber‑security guidance provided during induction.</w:t>
      </w:r>
    </w:p>
    <w:p w14:paraId="19DAB84B" w14:textId="77777777" w:rsidR="00E5281B" w:rsidRPr="00420F2A" w:rsidRDefault="007B6788">
      <w:pPr>
        <w:pStyle w:val="Heading2"/>
        <w:rPr>
          <w:color w:val="31849B" w:themeColor="accent5" w:themeShade="BF"/>
        </w:rPr>
      </w:pPr>
      <w:r w:rsidRPr="00420F2A">
        <w:rPr>
          <w:color w:val="31849B" w:themeColor="accent5" w:themeShade="BF"/>
        </w:rPr>
        <w:t>10. Use of AI Tools</w:t>
      </w:r>
    </w:p>
    <w:p w14:paraId="76DCD203" w14:textId="77777777" w:rsidR="00E5281B" w:rsidRDefault="007B6788">
      <w:r>
        <w:t>AI tools may be used for learning where appropriate, but learners must not:</w:t>
      </w:r>
    </w:p>
    <w:p w14:paraId="1071A2D9" w14:textId="5A6EE4A5" w:rsidR="00E5281B" w:rsidRDefault="007B6788" w:rsidP="004153B5">
      <w:pPr>
        <w:pStyle w:val="ListParagraph"/>
        <w:numPr>
          <w:ilvl w:val="0"/>
          <w:numId w:val="23"/>
        </w:numPr>
      </w:pPr>
      <w:r>
        <w:t>Use AI to cheat or generate assessments</w:t>
      </w:r>
    </w:p>
    <w:p w14:paraId="728105B8" w14:textId="6B01FA53" w:rsidR="00E5281B" w:rsidRDefault="007B6788" w:rsidP="004153B5">
      <w:pPr>
        <w:pStyle w:val="ListParagraph"/>
        <w:numPr>
          <w:ilvl w:val="0"/>
          <w:numId w:val="23"/>
        </w:numPr>
      </w:pPr>
      <w:r>
        <w:t>Produce harmful, abusive, or extremist content</w:t>
      </w:r>
    </w:p>
    <w:p w14:paraId="5AC54819" w14:textId="1694A7A6" w:rsidR="00E5281B" w:rsidRDefault="007B6788" w:rsidP="004153B5">
      <w:pPr>
        <w:pStyle w:val="ListParagraph"/>
        <w:numPr>
          <w:ilvl w:val="0"/>
          <w:numId w:val="23"/>
        </w:numPr>
      </w:pPr>
      <w:r>
        <w:t>Share personal data with unapproved AI platforms</w:t>
      </w:r>
    </w:p>
    <w:p w14:paraId="5D6BC26B" w14:textId="77777777" w:rsidR="00E5281B" w:rsidRDefault="00E5281B"/>
    <w:p w14:paraId="0A0E6CD3" w14:textId="77777777" w:rsidR="00E5281B" w:rsidRDefault="007B6788">
      <w:r>
        <w:t>Staff will check for AI misuse where academic integrity is required.</w:t>
      </w:r>
    </w:p>
    <w:p w14:paraId="32C1F904" w14:textId="77777777" w:rsidR="00420F2A" w:rsidRDefault="00420F2A">
      <w:pPr>
        <w:pStyle w:val="Heading2"/>
        <w:rPr>
          <w:color w:val="31849B" w:themeColor="accent5" w:themeShade="BF"/>
        </w:rPr>
      </w:pPr>
    </w:p>
    <w:p w14:paraId="667187FB" w14:textId="3DB06290" w:rsidR="00E5281B" w:rsidRDefault="007B6788">
      <w:pPr>
        <w:pStyle w:val="Heading2"/>
      </w:pPr>
      <w:r w:rsidRPr="00420F2A">
        <w:rPr>
          <w:color w:val="31849B" w:themeColor="accent5" w:themeShade="BF"/>
        </w:rPr>
        <w:t>11. Monitoring</w:t>
      </w:r>
    </w:p>
    <w:p w14:paraId="2C7AA444" w14:textId="77777777" w:rsidR="00E5281B" w:rsidRDefault="007B6788">
      <w:r>
        <w:t>Ascento may monitor:</w:t>
      </w:r>
    </w:p>
    <w:p w14:paraId="77FC96BF" w14:textId="702B3095" w:rsidR="00E5281B" w:rsidRDefault="007B6788" w:rsidP="004153B5">
      <w:pPr>
        <w:pStyle w:val="ListParagraph"/>
        <w:numPr>
          <w:ilvl w:val="0"/>
          <w:numId w:val="24"/>
        </w:numPr>
      </w:pPr>
      <w:r>
        <w:t>Use of Ascento systems</w:t>
      </w:r>
    </w:p>
    <w:p w14:paraId="3030199E" w14:textId="1FC5A4BE" w:rsidR="00E5281B" w:rsidRDefault="007B6788" w:rsidP="004153B5">
      <w:pPr>
        <w:pStyle w:val="ListParagraph"/>
        <w:numPr>
          <w:ilvl w:val="0"/>
          <w:numId w:val="24"/>
        </w:numPr>
      </w:pPr>
      <w:r>
        <w:t>Online session attendance</w:t>
      </w:r>
    </w:p>
    <w:p w14:paraId="4053A288" w14:textId="487CA4B7" w:rsidR="00E5281B" w:rsidRDefault="007B6788" w:rsidP="004153B5">
      <w:pPr>
        <w:pStyle w:val="ListParagraph"/>
        <w:numPr>
          <w:ilvl w:val="0"/>
          <w:numId w:val="24"/>
        </w:numPr>
      </w:pPr>
      <w:r>
        <w:t>Communications on official platforms</w:t>
      </w:r>
    </w:p>
    <w:p w14:paraId="638F16F7" w14:textId="00A4113F" w:rsidR="00E5281B" w:rsidRDefault="007B6788" w:rsidP="004153B5">
      <w:pPr>
        <w:pStyle w:val="ListParagraph"/>
        <w:numPr>
          <w:ilvl w:val="0"/>
          <w:numId w:val="24"/>
        </w:numPr>
      </w:pPr>
      <w:r>
        <w:t>Security alerts and suspicious activity</w:t>
      </w:r>
    </w:p>
    <w:p w14:paraId="03710097" w14:textId="77777777" w:rsidR="00E5281B" w:rsidRDefault="00E5281B"/>
    <w:p w14:paraId="213041D3" w14:textId="77777777" w:rsidR="00E5281B" w:rsidRDefault="007B6788">
      <w:r>
        <w:t>Monitoring is proportionate and compliant with UK GDPR.</w:t>
      </w:r>
    </w:p>
    <w:p w14:paraId="535A127E" w14:textId="77777777" w:rsidR="00E5281B" w:rsidRPr="00420F2A" w:rsidRDefault="007B6788">
      <w:pPr>
        <w:pStyle w:val="Heading2"/>
        <w:rPr>
          <w:color w:val="31849B" w:themeColor="accent5" w:themeShade="BF"/>
        </w:rPr>
      </w:pPr>
      <w:r w:rsidRPr="00420F2A">
        <w:rPr>
          <w:color w:val="31849B" w:themeColor="accent5" w:themeShade="BF"/>
        </w:rPr>
        <w:t>12. Review</w:t>
      </w:r>
    </w:p>
    <w:p w14:paraId="4184599E" w14:textId="77777777" w:rsidR="00E5281B" w:rsidRDefault="007B6788">
      <w:r>
        <w:t>This policy is reviewed annually or sooner if:</w:t>
      </w:r>
    </w:p>
    <w:p w14:paraId="0D6EE72E" w14:textId="25A27D35" w:rsidR="00E5281B" w:rsidRDefault="007B6788" w:rsidP="004153B5">
      <w:pPr>
        <w:pStyle w:val="ListParagraph"/>
        <w:numPr>
          <w:ilvl w:val="0"/>
          <w:numId w:val="25"/>
        </w:numPr>
      </w:pPr>
      <w:r>
        <w:t>Legislation changes</w:t>
      </w:r>
    </w:p>
    <w:p w14:paraId="72A78EF3" w14:textId="476F48C0" w:rsidR="00E5281B" w:rsidRDefault="007B6788" w:rsidP="004153B5">
      <w:pPr>
        <w:pStyle w:val="ListParagraph"/>
        <w:numPr>
          <w:ilvl w:val="0"/>
          <w:numId w:val="25"/>
        </w:numPr>
      </w:pPr>
      <w:r>
        <w:t>New risks emerge</w:t>
      </w:r>
    </w:p>
    <w:p w14:paraId="2123E5CF" w14:textId="303A071D" w:rsidR="00E5281B" w:rsidRDefault="007B6788" w:rsidP="004153B5">
      <w:pPr>
        <w:pStyle w:val="ListParagraph"/>
        <w:numPr>
          <w:ilvl w:val="0"/>
          <w:numId w:val="25"/>
        </w:numPr>
      </w:pPr>
      <w:r>
        <w:t>Technology platforms change</w:t>
      </w:r>
    </w:p>
    <w:p w14:paraId="7933EE78" w14:textId="10BDF24B" w:rsidR="00E5281B" w:rsidRDefault="007B6788" w:rsidP="004153B5">
      <w:pPr>
        <w:pStyle w:val="ListParagraph"/>
        <w:numPr>
          <w:ilvl w:val="0"/>
          <w:numId w:val="25"/>
        </w:numPr>
      </w:pPr>
      <w:r>
        <w:t>Safeguarding requirements are updated</w:t>
      </w:r>
    </w:p>
    <w:p w14:paraId="0C86B3DA" w14:textId="77777777" w:rsidR="00544B87" w:rsidRDefault="00544B87" w:rsidP="00544B87"/>
    <w:p w14:paraId="475A57A2" w14:textId="77777777" w:rsidR="00544B87" w:rsidRDefault="00544B87" w:rsidP="00544B87"/>
    <w:p w14:paraId="1AEC4E38" w14:textId="77777777" w:rsidR="00544B87" w:rsidRDefault="00544B87" w:rsidP="00544B87"/>
    <w:p w14:paraId="5E6A6271" w14:textId="77777777" w:rsidR="00544B87" w:rsidRDefault="00544B87" w:rsidP="00544B87"/>
    <w:p w14:paraId="2DCD7141" w14:textId="77777777" w:rsidR="00544B87" w:rsidRDefault="00544B87" w:rsidP="00D83A4C">
      <w:pPr>
        <w:pStyle w:val="NoSpacing"/>
      </w:pPr>
    </w:p>
    <w:p w14:paraId="773EBB00" w14:textId="77777777" w:rsidR="00D83A4C" w:rsidRDefault="00D83A4C" w:rsidP="00D83A4C">
      <w:pPr>
        <w:pStyle w:val="NoSpacing"/>
      </w:pPr>
    </w:p>
    <w:p w14:paraId="5284EAFB" w14:textId="77777777" w:rsidR="00D83A4C" w:rsidRDefault="00D83A4C" w:rsidP="00D83A4C">
      <w:pPr>
        <w:pStyle w:val="NoSpacing"/>
      </w:pPr>
    </w:p>
    <w:p w14:paraId="7CE838CD" w14:textId="77777777" w:rsidR="00D83A4C" w:rsidRDefault="00D83A4C" w:rsidP="00D83A4C">
      <w:pPr>
        <w:pStyle w:val="NoSpacing"/>
      </w:pPr>
    </w:p>
    <w:p w14:paraId="44F5D825" w14:textId="77777777" w:rsidR="00D83A4C" w:rsidRDefault="00D83A4C" w:rsidP="00D83A4C">
      <w:pPr>
        <w:pStyle w:val="NoSpacing"/>
      </w:pPr>
    </w:p>
    <w:p w14:paraId="7B98C9ED" w14:textId="77777777" w:rsidR="00D83A4C" w:rsidRDefault="00D83A4C" w:rsidP="00D83A4C">
      <w:pPr>
        <w:pStyle w:val="NoSpacing"/>
      </w:pPr>
    </w:p>
    <w:p w14:paraId="7B9FF841" w14:textId="77777777" w:rsidR="00D83A4C" w:rsidRDefault="00D83A4C" w:rsidP="00D83A4C">
      <w:pPr>
        <w:pStyle w:val="NoSpacing"/>
      </w:pPr>
    </w:p>
    <w:p w14:paraId="03937718" w14:textId="77777777" w:rsidR="00D83A4C" w:rsidRDefault="00D83A4C" w:rsidP="00D83A4C">
      <w:pPr>
        <w:pStyle w:val="NoSpacing"/>
      </w:pPr>
    </w:p>
    <w:p w14:paraId="53EDE3B0" w14:textId="77777777" w:rsidR="00D83A4C" w:rsidRDefault="00D83A4C" w:rsidP="00D83A4C">
      <w:pPr>
        <w:pStyle w:val="NoSpacing"/>
      </w:pPr>
    </w:p>
    <w:p w14:paraId="2CDD03E0" w14:textId="77777777" w:rsidR="00D83A4C" w:rsidRDefault="00D83A4C" w:rsidP="00D83A4C">
      <w:pPr>
        <w:pStyle w:val="NoSpacing"/>
      </w:pPr>
    </w:p>
    <w:p w14:paraId="7BFA9E8B" w14:textId="77777777" w:rsidR="00D83A4C" w:rsidRDefault="00D83A4C" w:rsidP="00D83A4C">
      <w:pPr>
        <w:pStyle w:val="NoSpacing"/>
      </w:pPr>
    </w:p>
    <w:p w14:paraId="3BE59BBE" w14:textId="77777777" w:rsidR="00D83A4C" w:rsidRDefault="00D83A4C" w:rsidP="00D83A4C">
      <w:pPr>
        <w:pStyle w:val="NoSpacing"/>
      </w:pPr>
    </w:p>
    <w:p w14:paraId="1D4F3548" w14:textId="12604F0B" w:rsidR="00D83A4C" w:rsidRDefault="00D83A4C" w:rsidP="00D83A4C">
      <w:pPr>
        <w:pStyle w:val="NoSpacing"/>
      </w:pPr>
      <w:r>
        <w:t>Policy Owner: Helen Abbott</w:t>
      </w:r>
    </w:p>
    <w:p w14:paraId="7A1C8109" w14:textId="7136BB09" w:rsidR="00D83A4C" w:rsidRDefault="00D83A4C" w:rsidP="00D83A4C">
      <w:pPr>
        <w:pStyle w:val="NoSpacing"/>
      </w:pPr>
      <w:r>
        <w:t>Effective Date: October 2025</w:t>
      </w:r>
      <w:r w:rsidR="00EA622F">
        <w:t xml:space="preserve"> </w:t>
      </w:r>
      <w:r>
        <w:t>Review Date: October 2026</w:t>
      </w:r>
    </w:p>
    <w:p w14:paraId="328F2325" w14:textId="77777777" w:rsidR="00D83A4C" w:rsidRDefault="00D83A4C" w:rsidP="00D83A4C">
      <w:pPr>
        <w:pStyle w:val="NoSpacing"/>
      </w:pPr>
    </w:p>
    <w:p w14:paraId="38440A00" w14:textId="77777777" w:rsidR="00D83A4C" w:rsidRDefault="00D83A4C" w:rsidP="00D83A4C">
      <w:pPr>
        <w:pStyle w:val="NoSpacing"/>
      </w:pPr>
      <w:r>
        <w:t>Safeguarding Contacts:</w:t>
      </w:r>
    </w:p>
    <w:p w14:paraId="25406763" w14:textId="77777777" w:rsidR="00D83A4C" w:rsidRDefault="00D83A4C" w:rsidP="00D83A4C">
      <w:pPr>
        <w:pStyle w:val="NoSpacing"/>
      </w:pPr>
      <w:r>
        <w:t>Designated Safeguarding Lead (DSL): Helen Abbott - helen.abbott@ascento.co.uk</w:t>
      </w:r>
    </w:p>
    <w:p w14:paraId="3EC28473" w14:textId="4487A1E1" w:rsidR="00544B87" w:rsidRDefault="00D83A4C" w:rsidP="00D83A4C">
      <w:pPr>
        <w:pStyle w:val="NoSpacing"/>
      </w:pPr>
      <w:r>
        <w:t>Deputy Safeguarding Lead (DDSL): Alison Ellerbrook</w:t>
      </w:r>
    </w:p>
    <w:p w14:paraId="12F7B92D" w14:textId="77777777" w:rsidR="00D83A4C" w:rsidRDefault="00D83A4C" w:rsidP="00D83A4C">
      <w:pPr>
        <w:pStyle w:val="NoSpacing"/>
      </w:pPr>
    </w:p>
    <w:sectPr w:rsidR="00D83A4C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C623A" w14:textId="77777777" w:rsidR="00591E47" w:rsidRDefault="00591E47" w:rsidP="004153B5">
      <w:pPr>
        <w:spacing w:after="0" w:line="240" w:lineRule="auto"/>
      </w:pPr>
      <w:r>
        <w:separator/>
      </w:r>
    </w:p>
  </w:endnote>
  <w:endnote w:type="continuationSeparator" w:id="0">
    <w:p w14:paraId="33F9B552" w14:textId="77777777" w:rsidR="00591E47" w:rsidRDefault="00591E47" w:rsidP="0041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E396B" w14:textId="77777777" w:rsidR="00591E47" w:rsidRDefault="00591E47" w:rsidP="004153B5">
      <w:pPr>
        <w:spacing w:after="0" w:line="240" w:lineRule="auto"/>
      </w:pPr>
      <w:r>
        <w:separator/>
      </w:r>
    </w:p>
  </w:footnote>
  <w:footnote w:type="continuationSeparator" w:id="0">
    <w:p w14:paraId="55BE49EC" w14:textId="77777777" w:rsidR="00591E47" w:rsidRDefault="00591E47" w:rsidP="00415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3B2C" w14:textId="2E5D12F1" w:rsidR="004153B5" w:rsidRDefault="004153B5">
    <w:pPr>
      <w:pStyle w:val="Header"/>
    </w:pPr>
    <w:r>
      <w:rPr>
        <w:noProof/>
        <w:lang w:eastAsia="en-GB"/>
      </w:rPr>
      <w:t xml:space="preserve">  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3638CF14" wp14:editId="3C6D08BC">
          <wp:extent cx="1835150" cy="4260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426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680631"/>
    <w:multiLevelType w:val="hybridMultilevel"/>
    <w:tmpl w:val="643A8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C2165"/>
    <w:multiLevelType w:val="hybridMultilevel"/>
    <w:tmpl w:val="CCFA38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963491"/>
    <w:multiLevelType w:val="hybridMultilevel"/>
    <w:tmpl w:val="C94AC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867C2"/>
    <w:multiLevelType w:val="hybridMultilevel"/>
    <w:tmpl w:val="6FC08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A7517"/>
    <w:multiLevelType w:val="hybridMultilevel"/>
    <w:tmpl w:val="5FFCC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90645"/>
    <w:multiLevelType w:val="hybridMultilevel"/>
    <w:tmpl w:val="3B8A6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8118B"/>
    <w:multiLevelType w:val="hybridMultilevel"/>
    <w:tmpl w:val="8E5A8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00470"/>
    <w:multiLevelType w:val="hybridMultilevel"/>
    <w:tmpl w:val="CFD6C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534D"/>
    <w:multiLevelType w:val="hybridMultilevel"/>
    <w:tmpl w:val="21D68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E023B"/>
    <w:multiLevelType w:val="hybridMultilevel"/>
    <w:tmpl w:val="5B485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D22CF"/>
    <w:multiLevelType w:val="hybridMultilevel"/>
    <w:tmpl w:val="0A607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40382"/>
    <w:multiLevelType w:val="hybridMultilevel"/>
    <w:tmpl w:val="C3C4C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C7611"/>
    <w:multiLevelType w:val="hybridMultilevel"/>
    <w:tmpl w:val="CC927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A49B9"/>
    <w:multiLevelType w:val="hybridMultilevel"/>
    <w:tmpl w:val="CB3EC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A4207"/>
    <w:multiLevelType w:val="hybridMultilevel"/>
    <w:tmpl w:val="ADFE5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66064"/>
    <w:multiLevelType w:val="hybridMultilevel"/>
    <w:tmpl w:val="3E047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11C1B"/>
    <w:multiLevelType w:val="hybridMultilevel"/>
    <w:tmpl w:val="FD5A1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F3730"/>
    <w:multiLevelType w:val="hybridMultilevel"/>
    <w:tmpl w:val="B9301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12F3B"/>
    <w:multiLevelType w:val="hybridMultilevel"/>
    <w:tmpl w:val="2C24D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122593">
    <w:abstractNumId w:val="5"/>
  </w:num>
  <w:num w:numId="2" w16cid:durableId="1697460705">
    <w:abstractNumId w:val="3"/>
  </w:num>
  <w:num w:numId="3" w16cid:durableId="1275527357">
    <w:abstractNumId w:val="2"/>
  </w:num>
  <w:num w:numId="4" w16cid:durableId="2018771868">
    <w:abstractNumId w:val="4"/>
  </w:num>
  <w:num w:numId="5" w16cid:durableId="1620213626">
    <w:abstractNumId w:val="1"/>
  </w:num>
  <w:num w:numId="6" w16cid:durableId="840582244">
    <w:abstractNumId w:val="0"/>
  </w:num>
  <w:num w:numId="7" w16cid:durableId="1487088154">
    <w:abstractNumId w:val="7"/>
  </w:num>
  <w:num w:numId="8" w16cid:durableId="1364478195">
    <w:abstractNumId w:val="17"/>
  </w:num>
  <w:num w:numId="9" w16cid:durableId="935362095">
    <w:abstractNumId w:val="11"/>
  </w:num>
  <w:num w:numId="10" w16cid:durableId="2089230401">
    <w:abstractNumId w:val="14"/>
  </w:num>
  <w:num w:numId="11" w16cid:durableId="980840656">
    <w:abstractNumId w:val="9"/>
  </w:num>
  <w:num w:numId="12" w16cid:durableId="1323199799">
    <w:abstractNumId w:val="10"/>
  </w:num>
  <w:num w:numId="13" w16cid:durableId="1292781431">
    <w:abstractNumId w:val="8"/>
  </w:num>
  <w:num w:numId="14" w16cid:durableId="914633893">
    <w:abstractNumId w:val="18"/>
  </w:num>
  <w:num w:numId="15" w16cid:durableId="2014380104">
    <w:abstractNumId w:val="19"/>
  </w:num>
  <w:num w:numId="16" w16cid:durableId="1304851824">
    <w:abstractNumId w:val="15"/>
  </w:num>
  <w:num w:numId="17" w16cid:durableId="2092853880">
    <w:abstractNumId w:val="23"/>
  </w:num>
  <w:num w:numId="18" w16cid:durableId="1926722872">
    <w:abstractNumId w:val="16"/>
  </w:num>
  <w:num w:numId="19" w16cid:durableId="1317538418">
    <w:abstractNumId w:val="24"/>
  </w:num>
  <w:num w:numId="20" w16cid:durableId="2038961926">
    <w:abstractNumId w:val="6"/>
  </w:num>
  <w:num w:numId="21" w16cid:durableId="10225292">
    <w:abstractNumId w:val="21"/>
  </w:num>
  <w:num w:numId="22" w16cid:durableId="1887640175">
    <w:abstractNumId w:val="20"/>
  </w:num>
  <w:num w:numId="23" w16cid:durableId="1435662374">
    <w:abstractNumId w:val="12"/>
  </w:num>
  <w:num w:numId="24" w16cid:durableId="1121725897">
    <w:abstractNumId w:val="13"/>
  </w:num>
  <w:num w:numId="25" w16cid:durableId="1417483341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1C1"/>
    <w:rsid w:val="00034616"/>
    <w:rsid w:val="00047CFE"/>
    <w:rsid w:val="0006063C"/>
    <w:rsid w:val="0011414E"/>
    <w:rsid w:val="0015074B"/>
    <w:rsid w:val="001672EC"/>
    <w:rsid w:val="001D6B06"/>
    <w:rsid w:val="0029639D"/>
    <w:rsid w:val="00326F90"/>
    <w:rsid w:val="004153B5"/>
    <w:rsid w:val="00420F2A"/>
    <w:rsid w:val="00544B87"/>
    <w:rsid w:val="00573D7F"/>
    <w:rsid w:val="00591E47"/>
    <w:rsid w:val="005B53F7"/>
    <w:rsid w:val="005C756A"/>
    <w:rsid w:val="006016F0"/>
    <w:rsid w:val="006E1800"/>
    <w:rsid w:val="007B6788"/>
    <w:rsid w:val="008254E6"/>
    <w:rsid w:val="008517EA"/>
    <w:rsid w:val="008F544E"/>
    <w:rsid w:val="00925574"/>
    <w:rsid w:val="00AA1D8D"/>
    <w:rsid w:val="00AD3501"/>
    <w:rsid w:val="00AF2DAE"/>
    <w:rsid w:val="00B47730"/>
    <w:rsid w:val="00B748D7"/>
    <w:rsid w:val="00CB0664"/>
    <w:rsid w:val="00CB381B"/>
    <w:rsid w:val="00D83A4C"/>
    <w:rsid w:val="00E5281B"/>
    <w:rsid w:val="00E562B2"/>
    <w:rsid w:val="00EA62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9D5B55"/>
  <w14:defaultImageDpi w14:val="300"/>
  <w15:docId w15:val="{63AD7375-43DE-4C65-BD43-7EDA922D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f98c03-ab7c-4ec6-89df-374352f1341d" xsi:nil="true"/>
    <lcf76f155ced4ddcb4097134ff3c332f xmlns="d5ea26d0-20fa-4a6a-81df-7b0bbcf704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1C907B59BC34FACCAB763991BD0B1" ma:contentTypeVersion="18" ma:contentTypeDescription="Create a new document." ma:contentTypeScope="" ma:versionID="d19e7cdd63b3d6379de97d66d1b341b4">
  <xsd:schema xmlns:xsd="http://www.w3.org/2001/XMLSchema" xmlns:xs="http://www.w3.org/2001/XMLSchema" xmlns:p="http://schemas.microsoft.com/office/2006/metadata/properties" xmlns:ns2="d5ea26d0-20fa-4a6a-81df-7b0bbcf70448" xmlns:ns3="40f98c03-ab7c-4ec6-89df-374352f1341d" targetNamespace="http://schemas.microsoft.com/office/2006/metadata/properties" ma:root="true" ma:fieldsID="f9a4861daa9fb92895f3b149379b7677" ns2:_="" ns3:_="">
    <xsd:import namespace="d5ea26d0-20fa-4a6a-81df-7b0bbcf70448"/>
    <xsd:import namespace="40f98c03-ab7c-4ec6-89df-374352f13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a26d0-20fa-4a6a-81df-7b0bbcf70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175d03-3742-4e4a-a41e-329a5dbda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98c03-ab7c-4ec6-89df-374352f134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df057b-d0fb-4e95-8fbe-3c3ef21eba04}" ma:internalName="TaxCatchAll" ma:showField="CatchAllData" ma:web="40f98c03-ab7c-4ec6-89df-374352f134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7D2EE4-176C-40C1-86DF-4D6EFB4ADA27}">
  <ds:schemaRefs>
    <ds:schemaRef ds:uri="http://schemas.microsoft.com/office/2006/metadata/properties"/>
    <ds:schemaRef ds:uri="http://schemas.microsoft.com/office/infopath/2007/PartnerControls"/>
    <ds:schemaRef ds:uri="40f98c03-ab7c-4ec6-89df-374352f1341d"/>
    <ds:schemaRef ds:uri="d5ea26d0-20fa-4a6a-81df-7b0bbcf70448"/>
  </ds:schemaRefs>
</ds:datastoreItem>
</file>

<file path=customXml/itemProps2.xml><?xml version="1.0" encoding="utf-8"?>
<ds:datastoreItem xmlns:ds="http://schemas.openxmlformats.org/officeDocument/2006/customXml" ds:itemID="{3FFD05F4-72A8-47E1-86BA-773C27FA1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20D082-9DFB-479E-8764-0DA363C18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a26d0-20fa-4a6a-81df-7b0bbcf70448"/>
    <ds:schemaRef ds:uri="40f98c03-ab7c-4ec6-89df-374352f13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750</Words>
  <Characters>4865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Alison Ellerbrook</cp:lastModifiedBy>
  <cp:revision>4</cp:revision>
  <dcterms:created xsi:type="dcterms:W3CDTF">2026-01-10T12:18:00Z</dcterms:created>
  <dcterms:modified xsi:type="dcterms:W3CDTF">2026-01-10T17:49:00Z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0x010100B5E1C907B59BC34FACCAB763991BD0B1</vt:lpwstr>
  </property>
  <property fmtid="{D5CDD505-2E9C-101B-9397-08002B2CF9AE}" pid="3" name="MediaServiceImageTags">
    <vt:lpwstr/>
  </property>
</Properties>
</file>