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5877" w14:textId="2B103D30" w:rsidR="000A072D" w:rsidRPr="00EB4372" w:rsidRDefault="00AB5740" w:rsidP="00EB4372">
      <w:pPr>
        <w:rPr>
          <w:color w:val="31849B" w:themeColor="accent5" w:themeShade="BF"/>
          <w:sz w:val="28"/>
          <w:szCs w:val="28"/>
        </w:rPr>
      </w:pPr>
      <w:r w:rsidRPr="00EB4372">
        <w:rPr>
          <w:b/>
          <w:color w:val="31849B" w:themeColor="accent5" w:themeShade="BF"/>
          <w:sz w:val="28"/>
          <w:szCs w:val="28"/>
        </w:rPr>
        <w:t>Data Protection &amp; Privacy Policy</w:t>
      </w:r>
    </w:p>
    <w:p w14:paraId="6BFA1DD0" w14:textId="77777777" w:rsidR="000A072D" w:rsidRPr="00E21C19" w:rsidRDefault="00AB5740">
      <w:pPr>
        <w:pStyle w:val="Heading2"/>
        <w:rPr>
          <w:color w:val="31849B" w:themeColor="accent5" w:themeShade="BF"/>
        </w:rPr>
      </w:pPr>
      <w:r w:rsidRPr="00E21C19">
        <w:rPr>
          <w:color w:val="31849B" w:themeColor="accent5" w:themeShade="BF"/>
        </w:rPr>
        <w:t>1. Purpose and Scope</w:t>
      </w:r>
    </w:p>
    <w:p w14:paraId="7556B117" w14:textId="62806DD2" w:rsidR="000A072D" w:rsidRDefault="00AB5740">
      <w:r>
        <w:t xml:space="preserve">This policy sets out how </w:t>
      </w:r>
      <w:r w:rsidR="00F242BB" w:rsidRPr="00F242BB">
        <w:t xml:space="preserve">JGW Training Ltd T/A Ascento </w:t>
      </w:r>
      <w:r>
        <w:t>collects, uses, stores and shares personal data in compliance with UK GDPR, the Data Protection Act 2018 (DPA 2018), the Privacy and Electronic Communications (EC Directive) Regulations 2003 (PECR), and the Data (Use and Access) Act 2025 (DUAA). It applies to all staff, learners/apprentices, applicants, employers, subcontractors, and partners across all locations and systems.</w:t>
      </w:r>
    </w:p>
    <w:p w14:paraId="19D4BB5D" w14:textId="77777777" w:rsidR="000A072D" w:rsidRPr="00E21C19" w:rsidRDefault="00AB5740">
      <w:pPr>
        <w:pStyle w:val="Heading2"/>
        <w:rPr>
          <w:color w:val="31849B" w:themeColor="accent5" w:themeShade="BF"/>
        </w:rPr>
      </w:pPr>
      <w:r w:rsidRPr="00E21C19">
        <w:rPr>
          <w:color w:val="31849B" w:themeColor="accent5" w:themeShade="BF"/>
        </w:rPr>
        <w:t>2. Policy Statement</w:t>
      </w:r>
    </w:p>
    <w:p w14:paraId="1124A9F1" w14:textId="6D4C0A81" w:rsidR="000A072D" w:rsidRDefault="00F242BB">
      <w:r w:rsidRPr="00F242BB">
        <w:t xml:space="preserve">JGW Training Ltd T/A Ascento </w:t>
      </w:r>
      <w:r w:rsidR="00AB5740">
        <w:t xml:space="preserve"> processes personal data lawfully, fairly and transparently; limits processing to specified, legitimate purposes; collects only data that is adequate, relevant and necessary; keeps data accurate and up to date; retains data only as long as necessary; and protects data using appropriate technical and organisational measures. Accountability is evidenced through governance records, training, audits, data protection impact assessments (DPIAs), and assurance reporting.</w:t>
      </w:r>
    </w:p>
    <w:p w14:paraId="46983D25" w14:textId="6BDA1A60" w:rsidR="000A072D" w:rsidRPr="00E21C19" w:rsidRDefault="00AB5740">
      <w:pPr>
        <w:pStyle w:val="Heading2"/>
        <w:rPr>
          <w:color w:val="31849B" w:themeColor="accent5" w:themeShade="BF"/>
        </w:rPr>
      </w:pPr>
      <w:r w:rsidRPr="00E21C19">
        <w:rPr>
          <w:color w:val="31849B" w:themeColor="accent5" w:themeShade="BF"/>
        </w:rPr>
        <w:t xml:space="preserve">3. </w:t>
      </w:r>
      <w:r w:rsidR="00E21C19" w:rsidRPr="00E21C19">
        <w:rPr>
          <w:color w:val="31849B" w:themeColor="accent5" w:themeShade="BF"/>
        </w:rPr>
        <w:t>Data Protection Law</w:t>
      </w:r>
    </w:p>
    <w:p w14:paraId="62F80B4D" w14:textId="77777777" w:rsidR="00E21C19" w:rsidRDefault="00E21C19" w:rsidP="00E21C19">
      <w:r>
        <w:t>The United Kingdom’s data protection framework is governed by the Data Protection Act 2018, the UK General Data Protection Regulation (UK GDPR) and the Data (Use and Access) Act 2025 (DUAA). These laws set out how organisations must collect, handle, use and store personal information, regardless of whether the data is stored electronically, on paper, or in any other format.</w:t>
      </w:r>
    </w:p>
    <w:p w14:paraId="60D67564" w14:textId="77777777" w:rsidR="00E21C19" w:rsidRDefault="00E21C19" w:rsidP="00E21C19">
      <w:r>
        <w:t>To comply with data protection law, personal information must be collected and used fairly, stored securely, and not disclosed unlawfully. The UK GDPR continues to be underpinned by six core data protection principles, which require personal data to be:</w:t>
      </w:r>
    </w:p>
    <w:p w14:paraId="1E62772A" w14:textId="1237E609" w:rsidR="00E21C19" w:rsidRDefault="00E21C19" w:rsidP="00E21C19">
      <w:pPr>
        <w:pStyle w:val="ListParagraph"/>
        <w:numPr>
          <w:ilvl w:val="0"/>
          <w:numId w:val="10"/>
        </w:numPr>
      </w:pPr>
      <w:r>
        <w:t>Processed lawfully, fairly and transparently</w:t>
      </w:r>
    </w:p>
    <w:p w14:paraId="42824712" w14:textId="7041D274" w:rsidR="00E21C19" w:rsidRDefault="00E21C19" w:rsidP="00E21C19">
      <w:pPr>
        <w:pStyle w:val="ListParagraph"/>
        <w:numPr>
          <w:ilvl w:val="0"/>
          <w:numId w:val="10"/>
        </w:numPr>
      </w:pPr>
      <w:r>
        <w:t>Collected for specified, explicit and legitimate purposes, and not further processed in ways incompatible with those purposes (with exceptions for archiving, research and statistical purposes)</w:t>
      </w:r>
    </w:p>
    <w:p w14:paraId="1AED5BF4" w14:textId="23ECA44D" w:rsidR="00E21C19" w:rsidRDefault="00E21C19" w:rsidP="00E21C19">
      <w:pPr>
        <w:pStyle w:val="ListParagraph"/>
        <w:numPr>
          <w:ilvl w:val="0"/>
          <w:numId w:val="10"/>
        </w:numPr>
      </w:pPr>
      <w:r>
        <w:t>Adequate, relevant and limited to what is necessary</w:t>
      </w:r>
    </w:p>
    <w:p w14:paraId="1EED4E06" w14:textId="43CF52EE" w:rsidR="00E21C19" w:rsidRDefault="00E21C19" w:rsidP="00E21C19">
      <w:pPr>
        <w:pStyle w:val="ListParagraph"/>
        <w:numPr>
          <w:ilvl w:val="0"/>
          <w:numId w:val="10"/>
        </w:numPr>
      </w:pPr>
      <w:r>
        <w:t>Accurate and kept up to date, ensuring inaccurate data is rectified or erased without delay</w:t>
      </w:r>
    </w:p>
    <w:p w14:paraId="10D7005E" w14:textId="47CE0EAB" w:rsidR="00E21C19" w:rsidRDefault="00E21C19" w:rsidP="00E21C19">
      <w:pPr>
        <w:pStyle w:val="ListParagraph"/>
        <w:numPr>
          <w:ilvl w:val="0"/>
          <w:numId w:val="10"/>
        </w:numPr>
      </w:pPr>
      <w:r>
        <w:t>Kept for no longer than necessary, unless retained lawfully for research, archiving or statistical purposes with appropriate safeguards</w:t>
      </w:r>
    </w:p>
    <w:p w14:paraId="2335D4DE" w14:textId="5B48E7EF" w:rsidR="00E21C19" w:rsidRDefault="00E21C19" w:rsidP="00E21C19">
      <w:pPr>
        <w:pStyle w:val="ListParagraph"/>
        <w:numPr>
          <w:ilvl w:val="0"/>
          <w:numId w:val="10"/>
        </w:numPr>
      </w:pPr>
      <w:r>
        <w:t>Processed securely, ensuring protection against unauthorised or unlawful processing and accidental loss, destruction or damage through appropriate technical and organisational measures</w:t>
      </w:r>
    </w:p>
    <w:p w14:paraId="6333FD65" w14:textId="77777777" w:rsidR="00E21C19" w:rsidRDefault="00E21C19" w:rsidP="00E21C19">
      <w:pPr>
        <w:pStyle w:val="ListParagraph"/>
        <w:numPr>
          <w:ilvl w:val="0"/>
          <w:numId w:val="10"/>
        </w:numPr>
      </w:pPr>
      <w:r>
        <w:t>In addition, the Data (Use and Access) Act 2025 introduced several important updates to the UK GDPR and DPA 2018, including:</w:t>
      </w:r>
    </w:p>
    <w:p w14:paraId="5C8D0719" w14:textId="379BAF99" w:rsidR="00E21C19" w:rsidRDefault="00E21C19" w:rsidP="00E21C19">
      <w:pPr>
        <w:pStyle w:val="ListParagraph"/>
        <w:numPr>
          <w:ilvl w:val="0"/>
          <w:numId w:val="10"/>
        </w:numPr>
      </w:pPr>
      <w:r>
        <w:lastRenderedPageBreak/>
        <w:t>A new recognised legitimate interests lawful basis for certain specific purposes such as safeguarding vulnerable individuals, crime prevention, emergency response, and certain administrative or direct marketing activities</w:t>
      </w:r>
    </w:p>
    <w:p w14:paraId="0CE45219" w14:textId="17E083BB" w:rsidR="00E21C19" w:rsidRDefault="00E21C19" w:rsidP="00E21C19">
      <w:pPr>
        <w:pStyle w:val="ListParagraph"/>
        <w:numPr>
          <w:ilvl w:val="0"/>
          <w:numId w:val="10"/>
        </w:numPr>
      </w:pPr>
      <w:r>
        <w:t>Updated subject access request (SAR) rules, including requirements for “reasonable and proportionate” searches and the ability to “stop‑the‑clock” when seeking identity verification or clarification of scope</w:t>
      </w:r>
    </w:p>
    <w:p w14:paraId="2E2E500A" w14:textId="782B6667" w:rsidR="00E21C19" w:rsidRDefault="00E21C19" w:rsidP="00E21C19">
      <w:pPr>
        <w:pStyle w:val="ListParagraph"/>
        <w:numPr>
          <w:ilvl w:val="0"/>
          <w:numId w:val="10"/>
        </w:numPr>
      </w:pPr>
      <w:r>
        <w:t>A more flexible framework for automated decision‑making (ADM), allowing certain types of solely automated decisions provided safeguards such as human review and challenge rights are in place</w:t>
      </w:r>
    </w:p>
    <w:p w14:paraId="340C37BA" w14:textId="6EE22CEB" w:rsidR="00E21C19" w:rsidRDefault="00E21C19" w:rsidP="00E21C19">
      <w:pPr>
        <w:pStyle w:val="ListParagraph"/>
        <w:numPr>
          <w:ilvl w:val="0"/>
          <w:numId w:val="10"/>
        </w:numPr>
      </w:pPr>
      <w:r>
        <w:t>Updated cookie and tracking rules that remove the need for consent for some low‑risk analytics or functionality cookies, provided clear information and easy opt‑out is available</w:t>
      </w:r>
    </w:p>
    <w:p w14:paraId="5A728A35" w14:textId="66D11BE6" w:rsidR="00E21C19" w:rsidRPr="00E21C19" w:rsidRDefault="00E21C19" w:rsidP="00E21C19">
      <w:pPr>
        <w:pStyle w:val="ListParagraph"/>
        <w:numPr>
          <w:ilvl w:val="0"/>
          <w:numId w:val="10"/>
        </w:numPr>
      </w:pPr>
      <w:r>
        <w:t>Strengthened PECR enforcement, aligning penalties with UK GDPR (up to the greater of £17.5m or 4% of global turnover)</w:t>
      </w:r>
    </w:p>
    <w:p w14:paraId="5DA7FD0F" w14:textId="77777777" w:rsidR="000A072D" w:rsidRPr="00E21C19" w:rsidRDefault="00AB5740">
      <w:pPr>
        <w:pStyle w:val="Heading2"/>
        <w:rPr>
          <w:color w:val="31849B" w:themeColor="accent5" w:themeShade="BF"/>
        </w:rPr>
      </w:pPr>
      <w:r w:rsidRPr="00E21C19">
        <w:rPr>
          <w:color w:val="31849B" w:themeColor="accent5" w:themeShade="BF"/>
        </w:rPr>
        <w:t>4. Roles and Responsibilities</w:t>
      </w:r>
    </w:p>
    <w:p w14:paraId="2706A42F" w14:textId="77777777" w:rsidR="00E21C19" w:rsidRPr="00E21C19" w:rsidRDefault="00E21C19" w:rsidP="00E21C19">
      <w:pPr>
        <w:pStyle w:val="NoSpacing"/>
        <w:rPr>
          <w:b/>
          <w:bCs/>
        </w:rPr>
      </w:pPr>
      <w:r w:rsidRPr="00E21C19">
        <w:rPr>
          <w:b/>
          <w:bCs/>
        </w:rPr>
        <w:t>All Staff</w:t>
      </w:r>
    </w:p>
    <w:p w14:paraId="44D56D86" w14:textId="77777777" w:rsidR="00E21C19" w:rsidRDefault="00E21C19" w:rsidP="00E21C19">
      <w:pPr>
        <w:pStyle w:val="NoSpacing"/>
      </w:pPr>
      <w:r>
        <w:t>All staff, tutors, assessors, managers, and contractors must:</w:t>
      </w:r>
    </w:p>
    <w:p w14:paraId="4AD78E56" w14:textId="77777777" w:rsidR="00E21C19" w:rsidRDefault="00E21C19" w:rsidP="00E21C19">
      <w:pPr>
        <w:pStyle w:val="NoSpacing"/>
      </w:pPr>
    </w:p>
    <w:p w14:paraId="4A7C5F38" w14:textId="77777777" w:rsidR="00E21C19" w:rsidRDefault="00E21C19" w:rsidP="00E21C19">
      <w:pPr>
        <w:pStyle w:val="NoSpacing"/>
      </w:pPr>
      <w:r>
        <w:t>Protect personal data at all times</w:t>
      </w:r>
    </w:p>
    <w:p w14:paraId="205DC95A" w14:textId="77777777" w:rsidR="00E21C19" w:rsidRDefault="00E21C19" w:rsidP="00E21C19">
      <w:pPr>
        <w:pStyle w:val="NoSpacing"/>
      </w:pPr>
      <w:r>
        <w:t>Follow this policy and associated procedures</w:t>
      </w:r>
    </w:p>
    <w:p w14:paraId="49024BA6" w14:textId="77777777" w:rsidR="00E21C19" w:rsidRDefault="00E21C19" w:rsidP="00E21C19">
      <w:pPr>
        <w:pStyle w:val="NoSpacing"/>
      </w:pPr>
      <w:r>
        <w:t>Use approved systems for storing or sharing personal data</w:t>
      </w:r>
    </w:p>
    <w:p w14:paraId="781D03DB" w14:textId="77777777" w:rsidR="00E21C19" w:rsidRDefault="00E21C19" w:rsidP="00E21C19">
      <w:pPr>
        <w:pStyle w:val="NoSpacing"/>
      </w:pPr>
      <w:r>
        <w:t>Report any data breach or suspected breach immediately</w:t>
      </w:r>
    </w:p>
    <w:p w14:paraId="0C29DFA0" w14:textId="77777777" w:rsidR="00E21C19" w:rsidRDefault="00E21C19" w:rsidP="00E21C19">
      <w:pPr>
        <w:pStyle w:val="NoSpacing"/>
      </w:pPr>
      <w:r>
        <w:t>Complete mandatory annual training (Data Protection, Safeguarding, Prevent, Cyber Security)</w:t>
      </w:r>
    </w:p>
    <w:p w14:paraId="3D74A25D" w14:textId="77777777" w:rsidR="00E21C19" w:rsidRPr="00E21C19" w:rsidRDefault="00E21C19" w:rsidP="00E21C19">
      <w:pPr>
        <w:pStyle w:val="NoSpacing"/>
        <w:rPr>
          <w:b/>
          <w:bCs/>
          <w:color w:val="31849B" w:themeColor="accent5" w:themeShade="BF"/>
          <w:sz w:val="26"/>
          <w:szCs w:val="26"/>
        </w:rPr>
      </w:pPr>
    </w:p>
    <w:p w14:paraId="3E85AE31" w14:textId="77777777" w:rsidR="00E21C19" w:rsidRPr="00E21C19" w:rsidRDefault="00E21C19" w:rsidP="00E21C19">
      <w:pPr>
        <w:pStyle w:val="NoSpacing"/>
        <w:rPr>
          <w:b/>
          <w:bCs/>
        </w:rPr>
      </w:pPr>
      <w:r w:rsidRPr="00E21C19">
        <w:rPr>
          <w:b/>
          <w:bCs/>
        </w:rPr>
        <w:t>Managers &amp; Team Leads</w:t>
      </w:r>
    </w:p>
    <w:p w14:paraId="29785090" w14:textId="77777777" w:rsidR="00E21C19" w:rsidRDefault="00E21C19" w:rsidP="00E21C19">
      <w:pPr>
        <w:pStyle w:val="NoSpacing"/>
      </w:pPr>
      <w:r>
        <w:t>Managers are responsible for:</w:t>
      </w:r>
    </w:p>
    <w:p w14:paraId="07B77816" w14:textId="77777777" w:rsidR="00E21C19" w:rsidRDefault="00E21C19" w:rsidP="00E21C19">
      <w:pPr>
        <w:pStyle w:val="NoSpacing"/>
      </w:pPr>
    </w:p>
    <w:p w14:paraId="24869A51" w14:textId="77777777" w:rsidR="00E21C19" w:rsidRDefault="00E21C19" w:rsidP="00E21C19">
      <w:pPr>
        <w:pStyle w:val="NoSpacing"/>
      </w:pPr>
      <w:r>
        <w:t>Ensuring staff follow correct data handling procedures</w:t>
      </w:r>
    </w:p>
    <w:p w14:paraId="5ADAE35A" w14:textId="77777777" w:rsidR="00E21C19" w:rsidRDefault="00E21C19" w:rsidP="00E21C19">
      <w:pPr>
        <w:pStyle w:val="NoSpacing"/>
      </w:pPr>
      <w:r>
        <w:t>Embedding privacy‑by‑design into curriculum, learning systems, assessments, and processes</w:t>
      </w:r>
    </w:p>
    <w:p w14:paraId="1A50C9F1" w14:textId="77777777" w:rsidR="00E21C19" w:rsidRDefault="00E21C19" w:rsidP="00E21C19">
      <w:pPr>
        <w:pStyle w:val="NoSpacing"/>
      </w:pPr>
      <w:r>
        <w:t>Checking that access to learner and staff data is appropriate and regularly reviewed</w:t>
      </w:r>
    </w:p>
    <w:p w14:paraId="285FD8A7" w14:textId="77777777" w:rsidR="00E21C19" w:rsidRDefault="00E21C19" w:rsidP="00E21C19">
      <w:pPr>
        <w:pStyle w:val="NoSpacing"/>
      </w:pPr>
    </w:p>
    <w:p w14:paraId="000737B1" w14:textId="77777777" w:rsidR="00E21C19" w:rsidRPr="00E21C19" w:rsidRDefault="00E21C19" w:rsidP="00E21C19">
      <w:pPr>
        <w:pStyle w:val="NoSpacing"/>
        <w:rPr>
          <w:b/>
          <w:bCs/>
        </w:rPr>
      </w:pPr>
      <w:r w:rsidRPr="00E21C19">
        <w:rPr>
          <w:b/>
          <w:bCs/>
        </w:rPr>
        <w:t>IT / Digital Services</w:t>
      </w:r>
    </w:p>
    <w:p w14:paraId="2FF03D8B" w14:textId="77777777" w:rsidR="00E21C19" w:rsidRDefault="00E21C19" w:rsidP="00E21C19">
      <w:pPr>
        <w:pStyle w:val="NoSpacing"/>
      </w:pPr>
      <w:r>
        <w:t>IT leads on:</w:t>
      </w:r>
    </w:p>
    <w:p w14:paraId="2E75D8D6" w14:textId="77777777" w:rsidR="00E21C19" w:rsidRDefault="00E21C19" w:rsidP="00E21C19">
      <w:pPr>
        <w:pStyle w:val="NoSpacing"/>
      </w:pPr>
    </w:p>
    <w:p w14:paraId="7A0C5AF6" w14:textId="77777777" w:rsidR="00E21C19" w:rsidRDefault="00E21C19" w:rsidP="00E21C19">
      <w:pPr>
        <w:pStyle w:val="NoSpacing"/>
      </w:pPr>
      <w:r>
        <w:t>Cyber security controls (encryption, MFA, secure backups, monitoring)</w:t>
      </w:r>
    </w:p>
    <w:p w14:paraId="470A8BAC" w14:textId="77777777" w:rsidR="00E21C19" w:rsidRDefault="00E21C19" w:rsidP="00E21C19">
      <w:pPr>
        <w:pStyle w:val="NoSpacing"/>
      </w:pPr>
      <w:r>
        <w:t>Maintaining secure systems and user access</w:t>
      </w:r>
    </w:p>
    <w:p w14:paraId="7A9D2C82" w14:textId="77777777" w:rsidR="00E21C19" w:rsidRDefault="00E21C19" w:rsidP="00E21C19">
      <w:pPr>
        <w:pStyle w:val="NoSpacing"/>
      </w:pPr>
      <w:r>
        <w:t>Supporting DPIAs for new systems</w:t>
      </w:r>
    </w:p>
    <w:p w14:paraId="7AC16E0F" w14:textId="77777777" w:rsidR="00E21C19" w:rsidRDefault="00E21C19" w:rsidP="00E21C19">
      <w:pPr>
        <w:pStyle w:val="NoSpacing"/>
      </w:pPr>
      <w:r>
        <w:t>Ensuring only approved technologies are used</w:t>
      </w:r>
    </w:p>
    <w:p w14:paraId="69A838F2" w14:textId="77777777" w:rsidR="00E21C19" w:rsidRDefault="00E21C19" w:rsidP="00E21C19">
      <w:pPr>
        <w:pStyle w:val="NoSpacing"/>
      </w:pPr>
    </w:p>
    <w:p w14:paraId="759D93B9" w14:textId="77777777" w:rsidR="00E21C19" w:rsidRPr="00E21C19" w:rsidRDefault="00E21C19" w:rsidP="00E21C19">
      <w:pPr>
        <w:pStyle w:val="NoSpacing"/>
        <w:rPr>
          <w:b/>
          <w:bCs/>
        </w:rPr>
      </w:pPr>
      <w:r w:rsidRPr="00E21C19">
        <w:rPr>
          <w:b/>
          <w:bCs/>
        </w:rPr>
        <w:t>Senior Leadership (Commercial Director)</w:t>
      </w:r>
    </w:p>
    <w:p w14:paraId="39390B0E" w14:textId="77777777" w:rsidR="00E21C19" w:rsidRDefault="00E21C19" w:rsidP="00E21C19">
      <w:pPr>
        <w:pStyle w:val="NoSpacing"/>
      </w:pPr>
      <w:r>
        <w:t>Senior leaders are responsible for:</w:t>
      </w:r>
    </w:p>
    <w:p w14:paraId="5C69F2D3" w14:textId="77777777" w:rsidR="00E21C19" w:rsidRDefault="00E21C19" w:rsidP="00E21C19">
      <w:pPr>
        <w:pStyle w:val="NoSpacing"/>
      </w:pPr>
    </w:p>
    <w:p w14:paraId="67956137" w14:textId="77777777" w:rsidR="00E21C19" w:rsidRDefault="00E21C19" w:rsidP="00E21C19">
      <w:pPr>
        <w:pStyle w:val="NoSpacing"/>
      </w:pPr>
      <w:r>
        <w:t>Data protection governance and risk management</w:t>
      </w:r>
    </w:p>
    <w:p w14:paraId="68BF6FA4" w14:textId="77777777" w:rsidR="00E21C19" w:rsidRDefault="00E21C19" w:rsidP="00E21C19">
      <w:pPr>
        <w:pStyle w:val="NoSpacing"/>
      </w:pPr>
      <w:r>
        <w:t>Approving data‑sharing agreements, contracts, and new systems</w:t>
      </w:r>
    </w:p>
    <w:p w14:paraId="132ADFAA" w14:textId="77777777" w:rsidR="00E21C19" w:rsidRDefault="00E21C19" w:rsidP="00E21C19">
      <w:pPr>
        <w:pStyle w:val="NoSpacing"/>
      </w:pPr>
      <w:r>
        <w:lastRenderedPageBreak/>
        <w:t>Ensuring third‑party suppliers are compliant</w:t>
      </w:r>
    </w:p>
    <w:p w14:paraId="6ED3449D" w14:textId="77777777" w:rsidR="00E21C19" w:rsidRDefault="00E21C19" w:rsidP="00E21C19">
      <w:pPr>
        <w:pStyle w:val="NoSpacing"/>
      </w:pPr>
      <w:r>
        <w:t>Oversight of breaches, incident response and compliance reporting</w:t>
      </w:r>
    </w:p>
    <w:p w14:paraId="39FC1C4B" w14:textId="77777777" w:rsidR="00E21C19" w:rsidRDefault="00E21C19" w:rsidP="00E21C19">
      <w:pPr>
        <w:pStyle w:val="NoSpacing"/>
      </w:pPr>
    </w:p>
    <w:p w14:paraId="17D63A65" w14:textId="77777777" w:rsidR="00E21C19" w:rsidRPr="00E21C19" w:rsidRDefault="00E21C19" w:rsidP="00E21C19">
      <w:pPr>
        <w:pStyle w:val="NoSpacing"/>
        <w:rPr>
          <w:b/>
          <w:bCs/>
        </w:rPr>
      </w:pPr>
      <w:r w:rsidRPr="00E21C19">
        <w:rPr>
          <w:b/>
          <w:bCs/>
        </w:rPr>
        <w:t>Data Protection Officer (DPO)</w:t>
      </w:r>
    </w:p>
    <w:p w14:paraId="108B03AB" w14:textId="77777777" w:rsidR="00E21C19" w:rsidRDefault="00E21C19" w:rsidP="00E21C19">
      <w:pPr>
        <w:pStyle w:val="NoSpacing"/>
      </w:pPr>
      <w:r>
        <w:t>The DPO is responsible for:</w:t>
      </w:r>
    </w:p>
    <w:p w14:paraId="40187BD5" w14:textId="77777777" w:rsidR="00E21C19" w:rsidRDefault="00E21C19" w:rsidP="00E21C19">
      <w:pPr>
        <w:pStyle w:val="NoSpacing"/>
      </w:pPr>
    </w:p>
    <w:p w14:paraId="06536383" w14:textId="77777777" w:rsidR="00E21C19" w:rsidRDefault="00E21C19" w:rsidP="00E21C19">
      <w:pPr>
        <w:pStyle w:val="NoSpacing"/>
      </w:pPr>
      <w:r>
        <w:t>Managing Subject Access Requests (SARs), including stop‑the‑clock and proportionate search requirements</w:t>
      </w:r>
    </w:p>
    <w:p w14:paraId="481D56DB" w14:textId="77777777" w:rsidR="00E21C19" w:rsidRDefault="00E21C19" w:rsidP="00E21C19">
      <w:pPr>
        <w:pStyle w:val="NoSpacing"/>
      </w:pPr>
      <w:r>
        <w:t>Advising on DPIAs, international transfers and recognised legitimate interests</w:t>
      </w:r>
    </w:p>
    <w:p w14:paraId="2899E73A" w14:textId="77777777" w:rsidR="00E21C19" w:rsidRDefault="00E21C19" w:rsidP="00E21C19">
      <w:pPr>
        <w:pStyle w:val="NoSpacing"/>
      </w:pPr>
      <w:r>
        <w:t>Supporting and training staff</w:t>
      </w:r>
    </w:p>
    <w:p w14:paraId="01848820" w14:textId="3348637A" w:rsidR="00E21C19" w:rsidRPr="00E21C19" w:rsidRDefault="00E21C19" w:rsidP="00E21C19">
      <w:pPr>
        <w:pStyle w:val="NoSpacing"/>
      </w:pPr>
      <w:r>
        <w:t>Liaising with the ICO where legally required</w:t>
      </w:r>
    </w:p>
    <w:p w14:paraId="2223A5C6" w14:textId="77777777" w:rsidR="00E21C19" w:rsidRPr="00E21C19" w:rsidRDefault="00E21C19" w:rsidP="00E21C19"/>
    <w:p w14:paraId="027F39F3" w14:textId="77777777" w:rsidR="000A072D" w:rsidRPr="00E21C19" w:rsidRDefault="00AB5740">
      <w:pPr>
        <w:pStyle w:val="Heading2"/>
        <w:rPr>
          <w:color w:val="31849B" w:themeColor="accent5" w:themeShade="BF"/>
        </w:rPr>
      </w:pPr>
      <w:r w:rsidRPr="00E21C19">
        <w:rPr>
          <w:color w:val="31849B" w:themeColor="accent5" w:themeShade="BF"/>
        </w:rPr>
        <w:t>5. Lawful Bases and Recognised Legitimate Interests</w:t>
      </w:r>
    </w:p>
    <w:p w14:paraId="65DEDCA4" w14:textId="77777777" w:rsidR="000A072D" w:rsidRDefault="00AB5740">
      <w:r>
        <w:t>Processing relies on lawful bases under UK GDPR: consent, contract, legal obligation, vital interests, public task, or legitimate interests. Under DUAA, certain purposes are recognised legitimate interests (e.g., safeguarding vulnerable individuals, responding to emergencies, crime prevention) which reduce balancing-test burden; Ascento will document purpose and safeguards when relying on these.</w:t>
      </w:r>
    </w:p>
    <w:p w14:paraId="31C376B8" w14:textId="77777777" w:rsidR="000A072D" w:rsidRPr="00E21C19" w:rsidRDefault="00AB5740">
      <w:pPr>
        <w:pStyle w:val="Heading2"/>
        <w:rPr>
          <w:color w:val="31849B" w:themeColor="accent5" w:themeShade="BF"/>
        </w:rPr>
      </w:pPr>
      <w:r w:rsidRPr="00E21C19">
        <w:rPr>
          <w:color w:val="31849B" w:themeColor="accent5" w:themeShade="BF"/>
        </w:rPr>
        <w:t>6. Data We Process (Learners, Staff, Employers)</w:t>
      </w:r>
    </w:p>
    <w:p w14:paraId="32AE33FB" w14:textId="77777777" w:rsidR="000A072D" w:rsidRDefault="00AB5740">
      <w:r>
        <w:t>Personal data includes identity and contact details, enrolment and achievement records, attendance, funding and eligibility evidence, learning support and reasonable adjustments, safeguarding disclosures, assessment outcomes, and employer contact data. Special category data is processed only where necessary and lawful with appropriate safeguards.</w:t>
      </w:r>
    </w:p>
    <w:p w14:paraId="600CF46E" w14:textId="77777777" w:rsidR="000A072D" w:rsidRPr="00E21C19" w:rsidRDefault="00AB5740">
      <w:pPr>
        <w:pStyle w:val="Heading2"/>
        <w:rPr>
          <w:color w:val="31849B" w:themeColor="accent5" w:themeShade="BF"/>
        </w:rPr>
      </w:pPr>
      <w:r w:rsidRPr="00E21C19">
        <w:rPr>
          <w:color w:val="31849B" w:themeColor="accent5" w:themeShade="BF"/>
        </w:rPr>
        <w:t>7. Subject Access Requests (SARs) and Individual Rights</w:t>
      </w:r>
    </w:p>
    <w:p w14:paraId="6C0A0E67" w14:textId="77777777" w:rsidR="000A072D" w:rsidRDefault="00AB5740">
      <w:r>
        <w:t>• Respond without undue delay and within one calendar month from receipt; extend by up to two months for complex/multiple requests with notice within the first month.</w:t>
      </w:r>
    </w:p>
    <w:p w14:paraId="58D77B94" w14:textId="77777777" w:rsidR="000A072D" w:rsidRDefault="00AB5740">
      <w:r>
        <w:t>• Stop-the-clock applies when reasonably requiring identity verification or clarification of scope; time resumes once received.</w:t>
      </w:r>
    </w:p>
    <w:p w14:paraId="5DACC7D6" w14:textId="77777777" w:rsidR="000A072D" w:rsidRDefault="00AB5740">
      <w:r>
        <w:t>• Conduct reasonable and proportionate searches; apply exemptions (e.g., legal professional privilege) where applicable and explain decisions.</w:t>
      </w:r>
    </w:p>
    <w:p w14:paraId="487B4C3C" w14:textId="77777777" w:rsidR="000A072D" w:rsidRDefault="00AB5740">
      <w:r>
        <w:t>• Provide responses securely; maintain a SAR log capturing dates, scope, decisions and communications; operate a complaints-handling process allowing data subjects to complain to Ascento before escalating to the ICO.</w:t>
      </w:r>
    </w:p>
    <w:p w14:paraId="3D287E6D" w14:textId="77777777" w:rsidR="000A072D" w:rsidRPr="00E21C19" w:rsidRDefault="00AB5740">
      <w:pPr>
        <w:pStyle w:val="Heading2"/>
        <w:rPr>
          <w:color w:val="31849B" w:themeColor="accent5" w:themeShade="BF"/>
        </w:rPr>
      </w:pPr>
      <w:r w:rsidRPr="00E21C19">
        <w:rPr>
          <w:color w:val="31849B" w:themeColor="accent5" w:themeShade="BF"/>
        </w:rPr>
        <w:t>8. International Data Transfers</w:t>
      </w:r>
    </w:p>
    <w:p w14:paraId="5586F343" w14:textId="77777777" w:rsidR="000A072D" w:rsidRDefault="00AB5740">
      <w:r>
        <w:t>• Use UK adequacy regulations where available; otherwise implement IDTA or the UK Addendum plus a Transfer Risk Assessment (TRA).</w:t>
      </w:r>
    </w:p>
    <w:p w14:paraId="352F3F1C" w14:textId="77777777" w:rsidR="000A072D" w:rsidRDefault="00AB5740">
      <w:r>
        <w:t>• Record destinations, transfer tools, TRA outcomes, and technical/contractual safeguards; review regularly and upon material change.</w:t>
      </w:r>
    </w:p>
    <w:p w14:paraId="7094F2FB" w14:textId="77777777" w:rsidR="000A072D" w:rsidRPr="000719E3" w:rsidRDefault="00AB5740">
      <w:pPr>
        <w:pStyle w:val="Heading2"/>
        <w:rPr>
          <w:color w:val="31849B" w:themeColor="accent5" w:themeShade="BF"/>
        </w:rPr>
      </w:pPr>
      <w:r w:rsidRPr="000719E3">
        <w:rPr>
          <w:color w:val="31849B" w:themeColor="accent5" w:themeShade="BF"/>
        </w:rPr>
        <w:lastRenderedPageBreak/>
        <w:t>9. Information Security Controls</w:t>
      </w:r>
    </w:p>
    <w:p w14:paraId="1D3A70E9" w14:textId="77777777" w:rsidR="000A072D" w:rsidRDefault="00AB5740">
      <w:r>
        <w:t>• Encryption in transit (TLS, SFTP/SSH) and at rest (AES-256 or equivalent).</w:t>
      </w:r>
    </w:p>
    <w:p w14:paraId="660A5982" w14:textId="77777777" w:rsidR="000A072D" w:rsidRDefault="00AB5740">
      <w:r>
        <w:t>• Full-disk encryption and endpoint protection on all managed devices; multi-factor authentication (MFA) for privileged access and remote access.</w:t>
      </w:r>
    </w:p>
    <w:p w14:paraId="3618B947" w14:textId="77777777" w:rsidR="000A072D" w:rsidRDefault="00AB5740">
      <w:r>
        <w:t>• Role-based access, least privilege, strong passwords, and no password sharing; logging and monitoring of access and changes.</w:t>
      </w:r>
    </w:p>
    <w:p w14:paraId="6D88A598" w14:textId="77777777" w:rsidR="000A072D" w:rsidRDefault="00AB5740">
      <w:r>
        <w:t>• Approved cloud services, designated drives, and secure configuration baselines; backups with tested restoration.</w:t>
      </w:r>
    </w:p>
    <w:p w14:paraId="2E459907" w14:textId="77777777" w:rsidR="000A072D" w:rsidRDefault="00AB5740">
      <w:r>
        <w:t>• Prohibit storage of personal data on unmanaged devices; screens locked when unattended; secure disposal of paper and media.</w:t>
      </w:r>
    </w:p>
    <w:p w14:paraId="3F0C6F18" w14:textId="77777777" w:rsidR="000A072D" w:rsidRPr="000719E3" w:rsidRDefault="00AB5740">
      <w:pPr>
        <w:pStyle w:val="Heading2"/>
        <w:rPr>
          <w:color w:val="31849B" w:themeColor="accent5" w:themeShade="BF"/>
        </w:rPr>
      </w:pPr>
      <w:r w:rsidRPr="000719E3">
        <w:rPr>
          <w:color w:val="31849B" w:themeColor="accent5" w:themeShade="BF"/>
        </w:rPr>
        <w:t>10. Cookies and Direct Marketing (PECR)</w:t>
      </w:r>
    </w:p>
    <w:p w14:paraId="5B0EC57B" w14:textId="77777777" w:rsidR="000A072D" w:rsidRDefault="00AB5740">
      <w:r>
        <w:t>• Provide clear cookie notices and obtain consent for non-essential cookies unless relying on limited exemptions for low-risk analytics/functionality; always offer a simple opt-out.</w:t>
      </w:r>
    </w:p>
    <w:p w14:paraId="60BAF0C0" w14:textId="77777777" w:rsidR="000A072D" w:rsidRDefault="00AB5740">
      <w:r>
        <w:t>• Ensure email/SMS marketing complies with PECR (consent or soft opt-in where applicable); maintain suppression lists and consent records.</w:t>
      </w:r>
    </w:p>
    <w:p w14:paraId="7EB2D342" w14:textId="77777777" w:rsidR="000A072D" w:rsidRPr="000719E3" w:rsidRDefault="00AB5740">
      <w:pPr>
        <w:pStyle w:val="Heading2"/>
        <w:rPr>
          <w:color w:val="31849B" w:themeColor="accent5" w:themeShade="BF"/>
        </w:rPr>
      </w:pPr>
      <w:r w:rsidRPr="000719E3">
        <w:rPr>
          <w:color w:val="31849B" w:themeColor="accent5" w:themeShade="BF"/>
        </w:rPr>
        <w:t>11. Retention and Disposal</w:t>
      </w:r>
    </w:p>
    <w:p w14:paraId="2D5F7F31" w14:textId="2B50FD30" w:rsidR="000A072D" w:rsidRDefault="00AB5740">
      <w:r>
        <w:t xml:space="preserve">Retention follows </w:t>
      </w:r>
      <w:r w:rsidR="00560D9B">
        <w:t>DfE</w:t>
      </w:r>
      <w:r>
        <w:t xml:space="preserve"> funding rules, awarding-body requirements, and safeguarding legislation. Data is reviewed periodically and disposed of securely (cross-cut shredding; cryptographic wipe or equivalent for digital media).</w:t>
      </w:r>
    </w:p>
    <w:p w14:paraId="439F4A26" w14:textId="77777777" w:rsidR="000A072D" w:rsidRPr="000719E3" w:rsidRDefault="00AB5740">
      <w:pPr>
        <w:pStyle w:val="Heading2"/>
        <w:rPr>
          <w:color w:val="31849B" w:themeColor="accent5" w:themeShade="BF"/>
        </w:rPr>
      </w:pPr>
      <w:r w:rsidRPr="000719E3">
        <w:rPr>
          <w:color w:val="31849B" w:themeColor="accent5" w:themeShade="BF"/>
        </w:rPr>
        <w:t>12. Breach Management</w:t>
      </w:r>
    </w:p>
    <w:p w14:paraId="50EC7B5B" w14:textId="77777777" w:rsidR="000A072D" w:rsidRDefault="00AB5740">
      <w:r>
        <w:t>All suspected personal data breaches must be reported to the DPO immediately. Incidents are recorded, investigated, and notified to the ICO and affected individuals where legally required. Lessons learned inform control improvements and training.</w:t>
      </w:r>
    </w:p>
    <w:p w14:paraId="1B452CF3" w14:textId="77777777" w:rsidR="000A072D" w:rsidRPr="000719E3" w:rsidRDefault="00AB5740">
      <w:pPr>
        <w:pStyle w:val="Heading2"/>
        <w:rPr>
          <w:color w:val="31849B" w:themeColor="accent5" w:themeShade="BF"/>
        </w:rPr>
      </w:pPr>
      <w:r w:rsidRPr="000719E3">
        <w:rPr>
          <w:color w:val="31849B" w:themeColor="accent5" w:themeShade="BF"/>
        </w:rPr>
        <w:t>13. Training and Awareness</w:t>
      </w:r>
    </w:p>
    <w:p w14:paraId="47DA266A" w14:textId="77777777" w:rsidR="000A072D" w:rsidRDefault="00AB5740">
      <w:r>
        <w:t>Mandatory annual training in data protection, cyber security, safeguarding and Prevent for all staff; induction for new starters; role-specific training for managers and anyone handling SARs or international transfers; update briefings issued when law or guidance changes.</w:t>
      </w:r>
    </w:p>
    <w:p w14:paraId="17009CEF" w14:textId="77777777" w:rsidR="000A072D" w:rsidRPr="000719E3" w:rsidRDefault="00AB5740">
      <w:pPr>
        <w:pStyle w:val="Heading2"/>
        <w:rPr>
          <w:color w:val="31849B" w:themeColor="accent5" w:themeShade="BF"/>
        </w:rPr>
      </w:pPr>
      <w:r w:rsidRPr="000719E3">
        <w:rPr>
          <w:color w:val="31849B" w:themeColor="accent5" w:themeShade="BF"/>
        </w:rPr>
        <w:t>14. Governance and Assurance</w:t>
      </w:r>
    </w:p>
    <w:p w14:paraId="0D9129EF" w14:textId="77777777" w:rsidR="000A072D" w:rsidRDefault="00AB5740">
      <w:r>
        <w:t>Quarterly compliance reporting to Senior Leadership Team covering SAR metrics, breaches, DPIAs, vendor risk and transfer logs. Annual internal audits of PECR, ADM, and international transfers. Privacy by design embedded in new projects via DPIA and change control.</w:t>
      </w:r>
    </w:p>
    <w:p w14:paraId="150276A4" w14:textId="77777777" w:rsidR="000A072D" w:rsidRDefault="00AB5740">
      <w:pPr>
        <w:pStyle w:val="Heading2"/>
      </w:pPr>
      <w:r>
        <w:t>15. Contact</w:t>
      </w:r>
    </w:p>
    <w:p w14:paraId="1A8E29A1" w14:textId="6684C6BF" w:rsidR="000A072D" w:rsidRDefault="0090760C">
      <w:r>
        <w:t xml:space="preserve">For SARS or privacy queries please contact the </w:t>
      </w:r>
      <w:r w:rsidR="00AB5740">
        <w:t xml:space="preserve">Data </w:t>
      </w:r>
      <w:r w:rsidR="0010531F">
        <w:t>Support Lead</w:t>
      </w:r>
    </w:p>
    <w:p w14:paraId="20BCA32F" w14:textId="77777777" w:rsidR="00AB5740" w:rsidRDefault="00AB5740"/>
    <w:p w14:paraId="783C4E21" w14:textId="77777777" w:rsidR="00AB5740" w:rsidRDefault="00AB5740"/>
    <w:p w14:paraId="374C6A61" w14:textId="77777777" w:rsidR="00AB5740" w:rsidRDefault="00AB5740"/>
    <w:p w14:paraId="6EC82F84" w14:textId="77777777" w:rsidR="00AB5740" w:rsidRDefault="00AB5740"/>
    <w:p w14:paraId="26556FB4" w14:textId="77777777" w:rsidR="00AB5740" w:rsidRDefault="00AB5740"/>
    <w:p w14:paraId="5AB64758" w14:textId="77777777" w:rsidR="00AB5740" w:rsidRDefault="00AB5740"/>
    <w:p w14:paraId="15D33720" w14:textId="77777777" w:rsidR="00AB5740" w:rsidRDefault="00AB5740"/>
    <w:p w14:paraId="23FC3186" w14:textId="77777777" w:rsidR="00AB5740" w:rsidRDefault="00AB5740"/>
    <w:p w14:paraId="596F90ED" w14:textId="77777777" w:rsidR="00AB5740" w:rsidRDefault="00AB5740"/>
    <w:p w14:paraId="32EB1A28" w14:textId="77777777" w:rsidR="00AB5740" w:rsidRDefault="00AB5740"/>
    <w:p w14:paraId="2FDB4F8A" w14:textId="77777777" w:rsidR="00AB5740" w:rsidRDefault="00AB5740"/>
    <w:p w14:paraId="5AC686DB" w14:textId="77777777" w:rsidR="00AB5740" w:rsidRDefault="00AB5740"/>
    <w:p w14:paraId="132A4C7F" w14:textId="77777777" w:rsidR="00AB5740" w:rsidRDefault="00AB5740"/>
    <w:p w14:paraId="277C7FAA" w14:textId="77777777" w:rsidR="00AB5740" w:rsidRDefault="00AB5740"/>
    <w:p w14:paraId="1A2D7AE3" w14:textId="77777777" w:rsidR="00AB5740" w:rsidRDefault="00AB5740" w:rsidP="00AB5740">
      <w:pPr>
        <w:pStyle w:val="NoSpacing"/>
      </w:pPr>
    </w:p>
    <w:p w14:paraId="15C5FE6D" w14:textId="77777777" w:rsidR="00AB5740" w:rsidRDefault="00AB5740" w:rsidP="00AB5740">
      <w:pPr>
        <w:pStyle w:val="NoSpacing"/>
      </w:pPr>
    </w:p>
    <w:p w14:paraId="0CA709A9" w14:textId="77777777" w:rsidR="00AB5740" w:rsidRDefault="00AB5740" w:rsidP="00AB5740">
      <w:pPr>
        <w:pStyle w:val="NoSpacing"/>
      </w:pPr>
    </w:p>
    <w:p w14:paraId="173CDE33" w14:textId="77777777" w:rsidR="00AB5740" w:rsidRDefault="00AB5740" w:rsidP="00AB5740">
      <w:pPr>
        <w:pStyle w:val="NoSpacing"/>
      </w:pPr>
    </w:p>
    <w:p w14:paraId="4A111CED" w14:textId="77777777" w:rsidR="00AB5740" w:rsidRDefault="00AB5740" w:rsidP="00AB5740">
      <w:pPr>
        <w:pStyle w:val="NoSpacing"/>
      </w:pPr>
    </w:p>
    <w:p w14:paraId="597A2D87" w14:textId="77777777" w:rsidR="00AB5740" w:rsidRDefault="00AB5740" w:rsidP="00AB5740">
      <w:pPr>
        <w:pStyle w:val="NoSpacing"/>
      </w:pPr>
    </w:p>
    <w:p w14:paraId="6714BFFA" w14:textId="77777777" w:rsidR="00AB5740" w:rsidRDefault="00AB5740" w:rsidP="00AB5740">
      <w:pPr>
        <w:pStyle w:val="NoSpacing"/>
      </w:pPr>
    </w:p>
    <w:p w14:paraId="39883ECE" w14:textId="77777777" w:rsidR="00AB5740" w:rsidRDefault="00AB5740" w:rsidP="00AB5740">
      <w:pPr>
        <w:pStyle w:val="NoSpacing"/>
      </w:pPr>
    </w:p>
    <w:p w14:paraId="77966CDE" w14:textId="77777777" w:rsidR="00AB5740" w:rsidRDefault="00AB5740" w:rsidP="00AB5740">
      <w:pPr>
        <w:pStyle w:val="NoSpacing"/>
      </w:pPr>
    </w:p>
    <w:p w14:paraId="5D10DDCA" w14:textId="77777777" w:rsidR="00AB5740" w:rsidRDefault="00AB5740" w:rsidP="00AB5740">
      <w:pPr>
        <w:pStyle w:val="NoSpacing"/>
      </w:pPr>
    </w:p>
    <w:p w14:paraId="4B5DE63F" w14:textId="77777777" w:rsidR="00AB5740" w:rsidRDefault="00AB5740" w:rsidP="00AB5740">
      <w:pPr>
        <w:pStyle w:val="NoSpacing"/>
      </w:pPr>
    </w:p>
    <w:p w14:paraId="5A8BABD4" w14:textId="77777777" w:rsidR="00AB5740" w:rsidRDefault="00AB5740" w:rsidP="00AB5740">
      <w:pPr>
        <w:pStyle w:val="NoSpacing"/>
      </w:pPr>
    </w:p>
    <w:p w14:paraId="7D336724" w14:textId="3B4BC340" w:rsidR="00AB5740" w:rsidRDefault="00AB5740" w:rsidP="00AB5740">
      <w:pPr>
        <w:pStyle w:val="NoSpacing"/>
      </w:pPr>
      <w:r>
        <w:t>Policy Owner: Helen Abbott</w:t>
      </w:r>
    </w:p>
    <w:p w14:paraId="3808BFB9" w14:textId="77777777" w:rsidR="00AB5740" w:rsidRDefault="00AB5740" w:rsidP="00AB5740">
      <w:pPr>
        <w:pStyle w:val="NoSpacing"/>
      </w:pPr>
      <w:r>
        <w:t>Effective Date: October 2025 Review Date: October 2026</w:t>
      </w:r>
    </w:p>
    <w:p w14:paraId="42AFE88F" w14:textId="77777777" w:rsidR="00AB5740" w:rsidRDefault="00AB5740" w:rsidP="00AB5740">
      <w:pPr>
        <w:pStyle w:val="NoSpacing"/>
      </w:pPr>
    </w:p>
    <w:p w14:paraId="7179934F" w14:textId="77777777" w:rsidR="00AB5740" w:rsidRDefault="00AB5740" w:rsidP="00AB5740">
      <w:pPr>
        <w:pStyle w:val="NoSpacing"/>
      </w:pPr>
      <w:r>
        <w:t>Safeguarding Contacts:</w:t>
      </w:r>
    </w:p>
    <w:p w14:paraId="601523FA" w14:textId="77777777" w:rsidR="00AB5740" w:rsidRDefault="00AB5740" w:rsidP="00AB5740">
      <w:pPr>
        <w:pStyle w:val="NoSpacing"/>
      </w:pPr>
      <w:r>
        <w:t>Designated Safeguarding Lead (DSL): Helen Abbott - helen.abbott@ascento.co.uk</w:t>
      </w:r>
    </w:p>
    <w:p w14:paraId="2612056A" w14:textId="77777777" w:rsidR="00AB5740" w:rsidRDefault="00AB5740" w:rsidP="00AB5740">
      <w:pPr>
        <w:pStyle w:val="NoSpacing"/>
      </w:pPr>
      <w:r>
        <w:t>Deputy Safeguarding Lead (DDSL): Alison Ellerbrook</w:t>
      </w:r>
    </w:p>
    <w:p w14:paraId="50162918" w14:textId="77777777" w:rsidR="00AB5740" w:rsidRDefault="00AB5740"/>
    <w:sectPr w:rsidR="00AB5740"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A0DFB" w14:textId="77777777" w:rsidR="00165517" w:rsidRDefault="00165517" w:rsidP="00EB4372">
      <w:pPr>
        <w:spacing w:after="0" w:line="240" w:lineRule="auto"/>
      </w:pPr>
      <w:r>
        <w:separator/>
      </w:r>
    </w:p>
  </w:endnote>
  <w:endnote w:type="continuationSeparator" w:id="0">
    <w:p w14:paraId="6836DA54" w14:textId="77777777" w:rsidR="00165517" w:rsidRDefault="00165517" w:rsidP="00EB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6D4E" w14:textId="77777777" w:rsidR="00165517" w:rsidRDefault="00165517" w:rsidP="00EB4372">
      <w:pPr>
        <w:spacing w:after="0" w:line="240" w:lineRule="auto"/>
      </w:pPr>
      <w:r>
        <w:separator/>
      </w:r>
    </w:p>
  </w:footnote>
  <w:footnote w:type="continuationSeparator" w:id="0">
    <w:p w14:paraId="2B971D78" w14:textId="77777777" w:rsidR="00165517" w:rsidRDefault="00165517" w:rsidP="00EB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D72B" w14:textId="25C3E549" w:rsidR="00EB4372" w:rsidRDefault="00EB4372">
    <w:pPr>
      <w:pStyle w:val="Header"/>
    </w:pPr>
    <w:r>
      <w:rPr>
        <w:noProof/>
        <w:lang w:eastAsia="en-GB"/>
      </w:rPr>
      <w:t xml:space="preserve">                                                                                                                      </w:t>
    </w:r>
    <w:r>
      <w:rPr>
        <w:noProof/>
        <w:lang w:eastAsia="en-GB"/>
      </w:rPr>
      <w:drawing>
        <wp:inline distT="0" distB="0" distL="0" distR="0" wp14:anchorId="406BD695" wp14:editId="0413F2A4">
          <wp:extent cx="1835150" cy="426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426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BF6A00"/>
    <w:multiLevelType w:val="hybridMultilevel"/>
    <w:tmpl w:val="A806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30DEF"/>
    <w:multiLevelType w:val="hybridMultilevel"/>
    <w:tmpl w:val="6AB64FE4"/>
    <w:lvl w:ilvl="0" w:tplc="73C84AD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103941">
    <w:abstractNumId w:val="8"/>
  </w:num>
  <w:num w:numId="2" w16cid:durableId="20136451">
    <w:abstractNumId w:val="6"/>
  </w:num>
  <w:num w:numId="3" w16cid:durableId="1635983990">
    <w:abstractNumId w:val="5"/>
  </w:num>
  <w:num w:numId="4" w16cid:durableId="641622753">
    <w:abstractNumId w:val="4"/>
  </w:num>
  <w:num w:numId="5" w16cid:durableId="1315836449">
    <w:abstractNumId w:val="7"/>
  </w:num>
  <w:num w:numId="6" w16cid:durableId="312954892">
    <w:abstractNumId w:val="3"/>
  </w:num>
  <w:num w:numId="7" w16cid:durableId="1737389422">
    <w:abstractNumId w:val="2"/>
  </w:num>
  <w:num w:numId="8" w16cid:durableId="304699334">
    <w:abstractNumId w:val="1"/>
  </w:num>
  <w:num w:numId="9" w16cid:durableId="1927877929">
    <w:abstractNumId w:val="0"/>
  </w:num>
  <w:num w:numId="10" w16cid:durableId="270675194">
    <w:abstractNumId w:val="9"/>
  </w:num>
  <w:num w:numId="11" w16cid:durableId="255671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9E3"/>
    <w:rsid w:val="000A072D"/>
    <w:rsid w:val="0010531F"/>
    <w:rsid w:val="0014659E"/>
    <w:rsid w:val="0015074B"/>
    <w:rsid w:val="00165517"/>
    <w:rsid w:val="0029639D"/>
    <w:rsid w:val="00326F90"/>
    <w:rsid w:val="00560D9B"/>
    <w:rsid w:val="0082391D"/>
    <w:rsid w:val="0090760C"/>
    <w:rsid w:val="00AA1D8D"/>
    <w:rsid w:val="00AB5740"/>
    <w:rsid w:val="00AD3501"/>
    <w:rsid w:val="00B47730"/>
    <w:rsid w:val="00CB0664"/>
    <w:rsid w:val="00CC0FB6"/>
    <w:rsid w:val="00DA10B6"/>
    <w:rsid w:val="00E21C19"/>
    <w:rsid w:val="00EB4372"/>
    <w:rsid w:val="00F242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C82A4"/>
  <w14:defaultImageDpi w14:val="300"/>
  <w15:docId w15:val="{96BEA138-F5A9-45F6-9F48-A8D83B8D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f98c03-ab7c-4ec6-89df-374352f1341d" xsi:nil="true"/>
    <lcf76f155ced4ddcb4097134ff3c332f xmlns="d5ea26d0-20fa-4a6a-81df-7b0bbcf704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E1C907B59BC34FACCAB763991BD0B1" ma:contentTypeVersion="18" ma:contentTypeDescription="Create a new document." ma:contentTypeScope="" ma:versionID="d19e7cdd63b3d6379de97d66d1b341b4">
  <xsd:schema xmlns:xsd="http://www.w3.org/2001/XMLSchema" xmlns:xs="http://www.w3.org/2001/XMLSchema" xmlns:p="http://schemas.microsoft.com/office/2006/metadata/properties" xmlns:ns2="d5ea26d0-20fa-4a6a-81df-7b0bbcf70448" xmlns:ns3="40f98c03-ab7c-4ec6-89df-374352f1341d" targetNamespace="http://schemas.microsoft.com/office/2006/metadata/properties" ma:root="true" ma:fieldsID="f9a4861daa9fb92895f3b149379b7677" ns2:_="" ns3:_="">
    <xsd:import namespace="d5ea26d0-20fa-4a6a-81df-7b0bbcf70448"/>
    <xsd:import namespace="40f98c03-ab7c-4ec6-89df-374352f13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a26d0-20fa-4a6a-81df-7b0bbcf70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175d03-3742-4e4a-a41e-329a5dbdaf3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98c03-ab7c-4ec6-89df-374352f13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f057b-d0fb-4e95-8fbe-3c3ef21eba04}" ma:internalName="TaxCatchAll" ma:showField="CatchAllData" ma:web="40f98c03-ab7c-4ec6-89df-374352f13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969E0B7-B7A7-494F-8266-CA3BA0900356}">
  <ds:schemaRefs>
    <ds:schemaRef ds:uri="http://schemas.microsoft.com/sharepoint/v3/contenttype/forms"/>
  </ds:schemaRefs>
</ds:datastoreItem>
</file>

<file path=customXml/itemProps3.xml><?xml version="1.0" encoding="utf-8"?>
<ds:datastoreItem xmlns:ds="http://schemas.openxmlformats.org/officeDocument/2006/customXml" ds:itemID="{A5765CA0-D5ED-4101-BE44-3FCDD5348A24}">
  <ds:schemaRefs>
    <ds:schemaRef ds:uri="http://schemas.microsoft.com/office/2006/metadata/properties"/>
    <ds:schemaRef ds:uri="http://schemas.microsoft.com/office/infopath/2007/PartnerControls"/>
    <ds:schemaRef ds:uri="40f98c03-ab7c-4ec6-89df-374352f1341d"/>
    <ds:schemaRef ds:uri="d5ea26d0-20fa-4a6a-81df-7b0bbcf70448"/>
  </ds:schemaRefs>
</ds:datastoreItem>
</file>

<file path=customXml/itemProps4.xml><?xml version="1.0" encoding="utf-8"?>
<ds:datastoreItem xmlns:ds="http://schemas.openxmlformats.org/officeDocument/2006/customXml" ds:itemID="{0AE71003-322F-4AE6-B93C-C330F79A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a26d0-20fa-4a6a-81df-7b0bbcf70448"/>
    <ds:schemaRef ds:uri="40f98c03-ab7c-4ec6-89df-374352f13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1243</Words>
  <Characters>7972</Characters>
  <Application>Microsoft Office Word</Application>
  <DocSecurity>0</DocSecurity>
  <Lines>189</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Alison Ellerbrook</cp:lastModifiedBy>
  <cp:revision>5</cp:revision>
  <dcterms:created xsi:type="dcterms:W3CDTF">2026-01-10T12:05:00Z</dcterms:created>
  <dcterms:modified xsi:type="dcterms:W3CDTF">2026-01-11T11:04:00Z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0x010100B5E1C907B59BC34FACCAB763991BD0B1</vt:lpwstr>
  </property>
  <property fmtid="{D5CDD505-2E9C-101B-9397-08002B2CF9AE}" pid="3" name="MediaServiceImageTags">
    <vt:lpwstr/>
  </property>
</Properties>
</file>